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380C1">
      <w:pPr>
        <w:keepNext w:val="0"/>
        <w:keepLines w:val="0"/>
        <w:pageBreakBefore w:val="0"/>
        <w:widowControl w:val="0"/>
        <w:kinsoku/>
        <w:wordWrap/>
        <w:overflowPunct/>
        <w:topLinePunct w:val="0"/>
        <w:autoSpaceDE/>
        <w:autoSpaceDN/>
        <w:bidi w:val="0"/>
        <w:adjustRightInd/>
        <w:snapToGrid/>
        <w:spacing w:line="360" w:lineRule="auto"/>
        <w:ind w:firstLine="321" w:firstLineChars="100"/>
        <w:jc w:val="center"/>
        <w:textAlignment w:val="auto"/>
        <w:rPr>
          <w:rFonts w:hint="eastAsia" w:ascii="宋体" w:hAnsi="宋体" w:cs="宋体"/>
          <w:b/>
          <w:bCs/>
          <w:color w:val="000000" w:themeColor="text1"/>
          <w:kern w:val="2"/>
          <w:sz w:val="32"/>
          <w:szCs w:val="32"/>
          <w:highlight w:val="none"/>
          <w:shd w:val="clear" w:color="auto" w:fill="FFFFFF"/>
          <w:lang w:val="en-US" w:eastAsia="zh-CN" w:bidi="ar-SA"/>
          <w14:textFill>
            <w14:solidFill>
              <w14:schemeClr w14:val="tx1"/>
            </w14:solidFill>
          </w14:textFill>
        </w:rPr>
      </w:pPr>
      <w:r>
        <w:rPr>
          <w:rFonts w:hint="eastAsia" w:ascii="宋体" w:hAnsi="宋体" w:cs="宋体"/>
          <w:b/>
          <w:bCs/>
          <w:color w:val="000000" w:themeColor="text1"/>
          <w:kern w:val="2"/>
          <w:sz w:val="32"/>
          <w:szCs w:val="32"/>
          <w:highlight w:val="none"/>
          <w:shd w:val="clear" w:color="auto" w:fill="FFFFFF"/>
          <w:lang w:val="en-US" w:eastAsia="zh-CN" w:bidi="ar-SA"/>
          <w14:textFill>
            <w14:solidFill>
              <w14:schemeClr w14:val="tx1"/>
            </w14:solidFill>
          </w14:textFill>
        </w:rPr>
        <w:t>义乌市中心医院关于快递一体化合作服务的采购公告</w:t>
      </w:r>
    </w:p>
    <w:p w14:paraId="0CD4FC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pPr>
    </w:p>
    <w:p w14:paraId="296D4BE5">
      <w:pPr>
        <w:spacing w:line="360" w:lineRule="auto"/>
        <w:ind w:firstLine="480" w:firstLineChars="200"/>
        <w:rPr>
          <w:rFonts w:ascii="宋体" w:hAnsi="宋体"/>
          <w:color w:val="000000" w:themeColor="text1"/>
          <w:szCs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为规范义乌市中心医院院区快递管理秩序，优化患者、职工快递服务体验，计划对院内快递实行统一接收、统一代投、统一揽收、统一管理，打造安全、有序、高效、便民的院区快递服务体系。</w:t>
      </w:r>
      <w:r>
        <w:rPr>
          <w:rFonts w:hint="eastAsia" w:ascii="宋体" w:hAnsi="宋体" w:eastAsia="宋体" w:cs="Arial"/>
          <w:sz w:val="24"/>
          <w:szCs w:val="24"/>
          <w:highlight w:val="none"/>
        </w:rPr>
        <w:t>欢迎合格的供应商积极报名参加</w:t>
      </w:r>
      <w:r>
        <w:rPr>
          <w:rFonts w:hint="eastAsia"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t>。</w:t>
      </w:r>
    </w:p>
    <w:p w14:paraId="3FC3A150">
      <w:pPr>
        <w:snapToGrid w:val="0"/>
        <w:spacing w:line="440" w:lineRule="exact"/>
        <w:ind w:firstLine="480" w:firstLineChars="200"/>
        <w:rPr>
          <w:rFonts w:ascii="宋体" w:hAnsi="宋体" w:cs="Arial"/>
          <w:color w:val="000000" w:themeColor="text1"/>
          <w:sz w:val="24"/>
          <w:szCs w:val="20"/>
          <w:highlight w:val="none"/>
          <w14:textFill>
            <w14:solidFill>
              <w14:schemeClr w14:val="tx1"/>
            </w14:solidFill>
          </w14:textFill>
        </w:rPr>
      </w:pPr>
      <w:r>
        <w:rPr>
          <w:rFonts w:hint="eastAsia" w:ascii="宋体" w:hAnsi="宋体" w:cs="Arial"/>
          <w:color w:val="000000" w:themeColor="text1"/>
          <w:sz w:val="24"/>
          <w:highlight w:val="none"/>
          <w:lang w:val="en-US" w:eastAsia="zh-CN"/>
          <w14:textFill>
            <w14:solidFill>
              <w14:schemeClr w14:val="tx1"/>
            </w14:solidFill>
          </w14:textFill>
        </w:rPr>
        <w:t>一</w:t>
      </w:r>
      <w:r>
        <w:rPr>
          <w:rFonts w:hint="eastAsia" w:ascii="宋体" w:hAnsi="宋体" w:cs="Arial"/>
          <w:color w:val="000000" w:themeColor="text1"/>
          <w:sz w:val="24"/>
          <w:highlight w:val="none"/>
          <w14:textFill>
            <w14:solidFill>
              <w14:schemeClr w14:val="tx1"/>
            </w14:solidFill>
          </w14:textFill>
        </w:rPr>
        <w:t>、</w:t>
      </w:r>
      <w:r>
        <w:rPr>
          <w:rFonts w:hint="eastAsia" w:ascii="宋体" w:hAnsi="宋体" w:cs="Arial"/>
          <w:b/>
          <w:color w:val="000000" w:themeColor="text1"/>
          <w:sz w:val="24"/>
          <w:highlight w:val="none"/>
          <w14:textFill>
            <w14:solidFill>
              <w14:schemeClr w14:val="tx1"/>
            </w14:solidFill>
          </w14:textFill>
        </w:rPr>
        <w:t>采购组织类型：</w:t>
      </w:r>
      <w:r>
        <w:rPr>
          <w:rFonts w:hint="eastAsia" w:ascii="宋体" w:hAnsi="宋体" w:cs="Arial"/>
          <w:b/>
          <w:color w:val="000000" w:themeColor="text1"/>
          <w:sz w:val="24"/>
          <w:highlight w:val="none"/>
          <w:lang w:val="en-US" w:eastAsia="zh-CN"/>
          <w14:textFill>
            <w14:solidFill>
              <w14:schemeClr w14:val="tx1"/>
            </w14:solidFill>
          </w14:textFill>
        </w:rPr>
        <w:t>分散</w:t>
      </w:r>
      <w:r>
        <w:rPr>
          <w:rFonts w:hint="eastAsia" w:ascii="宋体" w:hAnsi="宋体" w:cs="Arial"/>
          <w:color w:val="000000" w:themeColor="text1"/>
          <w:sz w:val="24"/>
          <w:highlight w:val="none"/>
          <w14:textFill>
            <w14:solidFill>
              <w14:schemeClr w14:val="tx1"/>
            </w14:solidFill>
          </w14:textFill>
        </w:rPr>
        <w:t>采购</w:t>
      </w:r>
    </w:p>
    <w:p w14:paraId="67EF05E4">
      <w:pPr>
        <w:snapToGrid w:val="0"/>
        <w:spacing w:line="440" w:lineRule="exact"/>
        <w:ind w:firstLine="482" w:firstLineChars="200"/>
        <w:rPr>
          <w:rFonts w:hint="default" w:ascii="宋体" w:hAnsi="宋体" w:cs="Arial"/>
          <w:color w:val="000000" w:themeColor="text1"/>
          <w:sz w:val="24"/>
          <w:highlight w:val="none"/>
          <w:lang w:val="en-US"/>
          <w14:textFill>
            <w14:solidFill>
              <w14:schemeClr w14:val="tx1"/>
            </w14:solidFill>
          </w14:textFill>
        </w:rPr>
      </w:pPr>
      <w:r>
        <w:rPr>
          <w:rFonts w:hint="eastAsia" w:ascii="宋体" w:hAnsi="宋体" w:cs="Arial"/>
          <w:b/>
          <w:color w:val="000000" w:themeColor="text1"/>
          <w:sz w:val="24"/>
          <w:highlight w:val="none"/>
          <w:lang w:val="en-US" w:eastAsia="zh-CN"/>
          <w14:textFill>
            <w14:solidFill>
              <w14:schemeClr w14:val="tx1"/>
            </w14:solidFill>
          </w14:textFill>
        </w:rPr>
        <w:t>二</w:t>
      </w:r>
      <w:r>
        <w:rPr>
          <w:rFonts w:hint="eastAsia" w:ascii="宋体" w:hAnsi="宋体" w:cs="Arial"/>
          <w:b/>
          <w:color w:val="000000" w:themeColor="text1"/>
          <w:sz w:val="24"/>
          <w:highlight w:val="none"/>
          <w14:textFill>
            <w14:solidFill>
              <w14:schemeClr w14:val="tx1"/>
            </w14:solidFill>
          </w14:textFill>
        </w:rPr>
        <w:t>、采购方式：</w:t>
      </w:r>
      <w:r>
        <w:rPr>
          <w:rFonts w:hint="eastAsia" w:ascii="宋体" w:hAnsi="宋体" w:cs="Arial"/>
          <w:b/>
          <w:color w:val="000000" w:themeColor="text1"/>
          <w:sz w:val="24"/>
          <w:highlight w:val="none"/>
          <w:lang w:val="en-US" w:eastAsia="zh-CN"/>
          <w14:textFill>
            <w14:solidFill>
              <w14:schemeClr w14:val="tx1"/>
            </w14:solidFill>
          </w14:textFill>
        </w:rPr>
        <w:t>综合评分法</w:t>
      </w:r>
    </w:p>
    <w:p w14:paraId="69BE0DE3">
      <w:pPr>
        <w:snapToGrid w:val="0"/>
        <w:spacing w:line="440" w:lineRule="exact"/>
        <w:ind w:firstLine="472" w:firstLineChars="196"/>
        <w:rPr>
          <w:rFonts w:hint="eastAsia" w:ascii="宋体" w:hAnsi="宋体" w:eastAsia="宋体" w:cs="Arial"/>
          <w:b/>
          <w:bCs/>
          <w:color w:val="000000" w:themeColor="text1"/>
          <w:sz w:val="24"/>
          <w:highlight w:val="none"/>
          <w:lang w:eastAsia="zh-CN"/>
          <w14:textFill>
            <w14:solidFill>
              <w14:schemeClr w14:val="tx1"/>
            </w14:solidFill>
          </w14:textFill>
        </w:rPr>
      </w:pPr>
      <w:r>
        <w:rPr>
          <w:rFonts w:hint="eastAsia" w:ascii="宋体" w:hAnsi="宋体" w:cs="Arial"/>
          <w:b/>
          <w:color w:val="000000" w:themeColor="text1"/>
          <w:sz w:val="24"/>
          <w:highlight w:val="none"/>
          <w:lang w:val="en-US" w:eastAsia="zh-CN"/>
          <w14:textFill>
            <w14:solidFill>
              <w14:schemeClr w14:val="tx1"/>
            </w14:solidFill>
          </w14:textFill>
        </w:rPr>
        <w:t>三</w:t>
      </w:r>
      <w:r>
        <w:rPr>
          <w:rFonts w:hint="eastAsia" w:ascii="宋体" w:hAnsi="宋体" w:cs="Arial"/>
          <w:b/>
          <w:color w:val="000000" w:themeColor="text1"/>
          <w:sz w:val="24"/>
          <w:highlight w:val="none"/>
          <w14:textFill>
            <w14:solidFill>
              <w14:schemeClr w14:val="tx1"/>
            </w14:solidFill>
          </w14:textFill>
        </w:rPr>
        <w:t>、</w:t>
      </w:r>
      <w:r>
        <w:rPr>
          <w:rFonts w:hint="eastAsia" w:ascii="宋体" w:hAnsi="宋体" w:cs="Arial"/>
          <w:b/>
          <w:bCs/>
          <w:color w:val="000000" w:themeColor="text1"/>
          <w:sz w:val="24"/>
          <w:highlight w:val="none"/>
          <w14:textFill>
            <w14:solidFill>
              <w14:schemeClr w14:val="tx1"/>
            </w14:solidFill>
          </w14:textFill>
        </w:rPr>
        <w:t>采购需求一览表</w:t>
      </w:r>
      <w:r>
        <w:rPr>
          <w:rFonts w:hint="eastAsia" w:ascii="宋体" w:hAnsi="宋体" w:cs="Arial"/>
          <w:b/>
          <w:bCs/>
          <w:color w:val="000000" w:themeColor="text1"/>
          <w:sz w:val="24"/>
          <w:highlight w:val="none"/>
          <w:lang w:eastAsia="zh-CN"/>
          <w14:textFill>
            <w14:solidFill>
              <w14:schemeClr w14:val="tx1"/>
            </w14:solidFill>
          </w14:textFill>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3125"/>
        <w:gridCol w:w="1475"/>
        <w:gridCol w:w="3072"/>
      </w:tblGrid>
      <w:tr w14:paraId="312B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50" w:type="dxa"/>
            <w:noWrap w:val="0"/>
            <w:vAlign w:val="center"/>
          </w:tcPr>
          <w:p w14:paraId="290BC00D">
            <w:pPr>
              <w:snapToGrid w:val="0"/>
              <w:spacing w:line="440" w:lineRule="exact"/>
              <w:jc w:val="center"/>
              <w:rPr>
                <w:rFonts w:ascii="宋体" w:hAnsi="宋体" w:cs="Arial"/>
                <w:b/>
                <w:bCs/>
                <w:color w:val="000000" w:themeColor="text1"/>
                <w:sz w:val="24"/>
                <w:highlight w:val="none"/>
                <w14:textFill>
                  <w14:solidFill>
                    <w14:schemeClr w14:val="tx1"/>
                  </w14:solidFill>
                </w14:textFill>
              </w:rPr>
            </w:pPr>
            <w:r>
              <w:rPr>
                <w:rFonts w:hint="eastAsia" w:ascii="宋体" w:hAnsi="宋体" w:cs="Arial"/>
                <w:b/>
                <w:bCs/>
                <w:color w:val="000000" w:themeColor="text1"/>
                <w:sz w:val="24"/>
                <w:highlight w:val="none"/>
                <w14:textFill>
                  <w14:solidFill>
                    <w14:schemeClr w14:val="tx1"/>
                  </w14:solidFill>
                </w14:textFill>
              </w:rPr>
              <w:t>序号</w:t>
            </w:r>
          </w:p>
        </w:tc>
        <w:tc>
          <w:tcPr>
            <w:tcW w:w="3125" w:type="dxa"/>
            <w:noWrap w:val="0"/>
            <w:vAlign w:val="center"/>
          </w:tcPr>
          <w:p w14:paraId="2FB520BD">
            <w:pPr>
              <w:snapToGrid w:val="0"/>
              <w:spacing w:line="440" w:lineRule="exact"/>
              <w:jc w:val="center"/>
              <w:rPr>
                <w:rFonts w:ascii="宋体" w:hAnsi="宋体" w:cs="Arial"/>
                <w:b/>
                <w:bCs/>
                <w:color w:val="000000" w:themeColor="text1"/>
                <w:sz w:val="24"/>
                <w:highlight w:val="none"/>
                <w14:textFill>
                  <w14:solidFill>
                    <w14:schemeClr w14:val="tx1"/>
                  </w14:solidFill>
                </w14:textFill>
              </w:rPr>
            </w:pPr>
            <w:r>
              <w:rPr>
                <w:rFonts w:hint="eastAsia" w:ascii="宋体" w:hAnsi="宋体" w:cs="Arial"/>
                <w:b/>
                <w:bCs/>
                <w:color w:val="000000" w:themeColor="text1"/>
                <w:sz w:val="24"/>
                <w:highlight w:val="none"/>
                <w14:textFill>
                  <w14:solidFill>
                    <w14:schemeClr w14:val="tx1"/>
                  </w14:solidFill>
                </w14:textFill>
              </w:rPr>
              <w:t>采购内容</w:t>
            </w:r>
          </w:p>
        </w:tc>
        <w:tc>
          <w:tcPr>
            <w:tcW w:w="1475" w:type="dxa"/>
            <w:noWrap w:val="0"/>
            <w:vAlign w:val="center"/>
          </w:tcPr>
          <w:p w14:paraId="69DE22A9">
            <w:pPr>
              <w:snapToGrid w:val="0"/>
              <w:spacing w:line="440" w:lineRule="exact"/>
              <w:jc w:val="both"/>
              <w:rPr>
                <w:rFonts w:ascii="宋体" w:hAnsi="宋体" w:cs="Arial"/>
                <w:b/>
                <w:bCs/>
                <w:color w:val="000000" w:themeColor="text1"/>
                <w:sz w:val="24"/>
                <w:highlight w:val="none"/>
                <w14:textFill>
                  <w14:solidFill>
                    <w14:schemeClr w14:val="tx1"/>
                  </w14:solidFill>
                </w14:textFill>
              </w:rPr>
            </w:pPr>
            <w:r>
              <w:rPr>
                <w:rFonts w:hint="eastAsia" w:ascii="宋体" w:hAnsi="宋体" w:cs="Arial"/>
                <w:b/>
                <w:bCs/>
                <w:color w:val="000000" w:themeColor="text1"/>
                <w:sz w:val="24"/>
                <w:highlight w:val="none"/>
                <w:lang w:val="en-US" w:eastAsia="zh-CN"/>
                <w14:textFill>
                  <w14:solidFill>
                    <w14:schemeClr w14:val="tx1"/>
                  </w14:solidFill>
                </w14:textFill>
              </w:rPr>
              <w:t>服务期限</w:t>
            </w:r>
          </w:p>
        </w:tc>
        <w:tc>
          <w:tcPr>
            <w:tcW w:w="3072" w:type="dxa"/>
            <w:noWrap w:val="0"/>
            <w:vAlign w:val="center"/>
          </w:tcPr>
          <w:p w14:paraId="317CAEB6">
            <w:pPr>
              <w:snapToGrid w:val="0"/>
              <w:spacing w:line="440" w:lineRule="exact"/>
              <w:jc w:val="center"/>
              <w:rPr>
                <w:rFonts w:hint="eastAsia" w:ascii="宋体" w:hAnsi="宋体" w:eastAsia="宋体" w:cs="Arial"/>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Arial"/>
                <w:b/>
                <w:bCs/>
                <w:color w:val="000000" w:themeColor="text1"/>
                <w:sz w:val="24"/>
                <w:highlight w:val="none"/>
                <w:lang w:val="en-US" w:eastAsia="zh-CN"/>
                <w14:textFill>
                  <w14:solidFill>
                    <w14:schemeClr w14:val="tx1"/>
                  </w14:solidFill>
                </w14:textFill>
              </w:rPr>
              <w:t>服务地点</w:t>
            </w:r>
          </w:p>
        </w:tc>
      </w:tr>
      <w:tr w14:paraId="1049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50" w:type="dxa"/>
            <w:noWrap w:val="0"/>
            <w:vAlign w:val="center"/>
          </w:tcPr>
          <w:p w14:paraId="11B7C8DA">
            <w:pPr>
              <w:snapToGrid w:val="0"/>
              <w:spacing w:line="440" w:lineRule="exact"/>
              <w:jc w:val="center"/>
              <w:rPr>
                <w:rFonts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1</w:t>
            </w:r>
          </w:p>
        </w:tc>
        <w:tc>
          <w:tcPr>
            <w:tcW w:w="3125" w:type="dxa"/>
            <w:noWrap w:val="0"/>
            <w:vAlign w:val="center"/>
          </w:tcPr>
          <w:p w14:paraId="6662B62C">
            <w:pPr>
              <w:snapToGrid w:val="0"/>
              <w:spacing w:line="440" w:lineRule="exact"/>
              <w:jc w:val="center"/>
              <w:rPr>
                <w:rFonts w:hint="default" w:ascii="宋体" w:hAnsi="宋体" w:cs="Arial"/>
                <w:bCs/>
                <w:color w:val="000000" w:themeColor="text1"/>
                <w:sz w:val="24"/>
                <w:highlight w:val="none"/>
                <w:lang w:val="en-US"/>
                <w14:textFill>
                  <w14:solidFill>
                    <w14:schemeClr w14:val="tx1"/>
                  </w14:solidFill>
                </w14:textFill>
              </w:rPr>
            </w:pPr>
            <w:r>
              <w:rPr>
                <w:rFonts w:hint="eastAsia" w:ascii="宋体" w:hAnsi="宋体" w:cs="宋体"/>
                <w:color w:val="000000" w:themeColor="text1"/>
                <w:kern w:val="2"/>
                <w:sz w:val="24"/>
                <w:szCs w:val="24"/>
                <w:highlight w:val="none"/>
                <w:shd w:val="clear" w:color="auto" w:fill="FFFFFF"/>
                <w:lang w:val="en-US" w:eastAsia="zh-CN" w:bidi="ar-SA"/>
                <w14:textFill>
                  <w14:solidFill>
                    <w14:schemeClr w14:val="tx1"/>
                  </w14:solidFill>
                </w14:textFill>
              </w:rPr>
              <w:t>快递一体化合作服务</w:t>
            </w:r>
          </w:p>
        </w:tc>
        <w:tc>
          <w:tcPr>
            <w:tcW w:w="1475" w:type="dxa"/>
            <w:noWrap w:val="0"/>
            <w:vAlign w:val="center"/>
          </w:tcPr>
          <w:p w14:paraId="48E8244E">
            <w:pPr>
              <w:snapToGrid w:val="0"/>
              <w:spacing w:line="440" w:lineRule="exact"/>
              <w:jc w:val="center"/>
              <w:rPr>
                <w:rFonts w:hint="default" w:ascii="宋体" w:hAnsi="宋体" w:eastAsia="宋体" w:cs="Arial"/>
                <w:bCs/>
                <w:color w:val="000000" w:themeColor="text1"/>
                <w:sz w:val="24"/>
                <w:highlight w:val="none"/>
                <w:lang w:val="en-US" w:eastAsia="zh-CN"/>
                <w14:textFill>
                  <w14:solidFill>
                    <w14:schemeClr w14:val="tx1"/>
                  </w14:solidFill>
                </w14:textFill>
              </w:rPr>
            </w:pPr>
            <w:r>
              <w:rPr>
                <w:rFonts w:hint="eastAsia" w:ascii="宋体" w:hAnsi="宋体" w:cs="Arial"/>
                <w:bCs/>
                <w:color w:val="000000" w:themeColor="text1"/>
                <w:sz w:val="24"/>
                <w:highlight w:val="none"/>
                <w:lang w:val="en-US" w:eastAsia="zh-CN"/>
                <w14:textFill>
                  <w14:solidFill>
                    <w14:schemeClr w14:val="tx1"/>
                  </w14:solidFill>
                </w14:textFill>
              </w:rPr>
              <w:t>3年</w:t>
            </w:r>
          </w:p>
        </w:tc>
        <w:tc>
          <w:tcPr>
            <w:tcW w:w="3072" w:type="dxa"/>
            <w:noWrap w:val="0"/>
            <w:vAlign w:val="center"/>
          </w:tcPr>
          <w:p w14:paraId="33A5611F">
            <w:pPr>
              <w:snapToGrid w:val="0"/>
              <w:spacing w:line="440" w:lineRule="exact"/>
              <w:jc w:val="left"/>
              <w:rPr>
                <w:rFonts w:hint="eastAsia" w:ascii="宋体" w:hAnsi="宋体" w:eastAsia="宋体" w:cs="Arial"/>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t>义乌市中心医院西大门现快递收发室</w:t>
            </w:r>
          </w:p>
        </w:tc>
      </w:tr>
    </w:tbl>
    <w:p w14:paraId="52EFA24D">
      <w:pPr>
        <w:snapToGrid w:val="0"/>
        <w:spacing w:line="440" w:lineRule="exact"/>
        <w:rPr>
          <w:rFonts w:hint="default" w:ascii="宋体" w:hAnsi="宋体" w:cs="Arial"/>
          <w:b/>
          <w:color w:val="000000" w:themeColor="text1"/>
          <w:sz w:val="24"/>
          <w:highlight w:val="none"/>
          <w:lang w:val="en-US" w:eastAsia="zh-CN"/>
          <w14:textFill>
            <w14:solidFill>
              <w14:schemeClr w14:val="tx1"/>
            </w14:solidFill>
          </w14:textFill>
        </w:rPr>
      </w:pPr>
    </w:p>
    <w:p w14:paraId="1A5340E8">
      <w:pPr>
        <w:snapToGrid w:val="0"/>
        <w:spacing w:line="440" w:lineRule="exact"/>
        <w:ind w:firstLine="482" w:firstLineChars="200"/>
        <w:rPr>
          <w:rFonts w:ascii="宋体" w:hAnsi="宋体" w:cs="Arial"/>
          <w:b/>
          <w:bCs/>
          <w:color w:val="000000" w:themeColor="text1"/>
          <w:sz w:val="24"/>
          <w:szCs w:val="20"/>
          <w:highlight w:val="none"/>
          <w14:textFill>
            <w14:solidFill>
              <w14:schemeClr w14:val="tx1"/>
            </w14:solidFill>
          </w14:textFill>
        </w:rPr>
      </w:pPr>
      <w:r>
        <w:rPr>
          <w:rFonts w:hint="eastAsia" w:ascii="宋体" w:hAnsi="宋体" w:cs="Arial"/>
          <w:b/>
          <w:color w:val="000000" w:themeColor="text1"/>
          <w:sz w:val="24"/>
          <w:highlight w:val="none"/>
          <w:lang w:val="en-US" w:eastAsia="zh-CN"/>
          <w14:textFill>
            <w14:solidFill>
              <w14:schemeClr w14:val="tx1"/>
            </w14:solidFill>
          </w14:textFill>
        </w:rPr>
        <w:t>四</w:t>
      </w:r>
      <w:r>
        <w:rPr>
          <w:rFonts w:hint="eastAsia" w:ascii="宋体" w:hAnsi="宋体" w:cs="Arial"/>
          <w:color w:val="000000" w:themeColor="text1"/>
          <w:sz w:val="24"/>
          <w:highlight w:val="none"/>
          <w14:textFill>
            <w14:solidFill>
              <w14:schemeClr w14:val="tx1"/>
            </w14:solidFill>
          </w14:textFill>
        </w:rPr>
        <w:t>、</w:t>
      </w:r>
      <w:r>
        <w:rPr>
          <w:rFonts w:hint="eastAsia" w:ascii="宋体" w:hAnsi="宋体" w:cs="Arial"/>
          <w:b/>
          <w:bCs/>
          <w:color w:val="000000" w:themeColor="text1"/>
          <w:sz w:val="24"/>
          <w:highlight w:val="none"/>
          <w14:textFill>
            <w14:solidFill>
              <w14:schemeClr w14:val="tx1"/>
            </w14:solidFill>
          </w14:textFill>
        </w:rPr>
        <w:t>合格投标人的资格要求：</w:t>
      </w:r>
    </w:p>
    <w:p w14:paraId="3B8C90A4">
      <w:pPr>
        <w:spacing w:line="360" w:lineRule="auto"/>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1.</w:t>
      </w:r>
      <w:r>
        <w:rPr>
          <w:rFonts w:hint="eastAsia" w:ascii="宋体" w:hAnsi="宋体" w:eastAsia="宋体" w:cs="Times New Roman"/>
          <w:bCs/>
          <w:color w:val="auto"/>
          <w:sz w:val="24"/>
          <w:highlight w:val="none"/>
          <w14:ligatures w14:val="none"/>
        </w:rPr>
        <w:t>满足《中华人民共和国政府采购法》第二十二条要求</w:t>
      </w:r>
      <w:r>
        <w:rPr>
          <w:rFonts w:hAnsi="宋体"/>
          <w:color w:val="000000" w:themeColor="text1"/>
          <w:sz w:val="24"/>
          <w:highlight w:val="none"/>
          <w14:textFill>
            <w14:solidFill>
              <w14:schemeClr w14:val="tx1"/>
            </w14:solidFill>
          </w14:textFill>
        </w:rPr>
        <w:t>。</w:t>
      </w:r>
    </w:p>
    <w:p w14:paraId="6F38C6AC">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参加政府采购活动前三年内，在经营活动中没有重大违法记录。</w:t>
      </w:r>
    </w:p>
    <w:p w14:paraId="5D2FEB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r>
        <w:rPr>
          <w:rFonts w:hint="eastAsia" w:hAnsi="宋体"/>
          <w:color w:val="000000" w:themeColor="text1"/>
          <w:sz w:val="24"/>
          <w:highlight w:val="none"/>
          <w14:textFill>
            <w14:solidFill>
              <w14:schemeClr w14:val="tx1"/>
            </w14:solidFill>
          </w14:textFill>
        </w:rPr>
        <w:t>本次招标项目不接受联合体投标，不允许转包和分包</w:t>
      </w:r>
      <w:r>
        <w:rPr>
          <w:rFonts w:hint="eastAsia" w:hAnsi="宋体"/>
          <w:color w:val="000000" w:themeColor="text1"/>
          <w:sz w:val="24"/>
          <w:highlight w:val="none"/>
          <w:lang w:eastAsia="zh-CN"/>
          <w14:textFill>
            <w14:solidFill>
              <w14:schemeClr w14:val="tx1"/>
            </w14:solidFill>
          </w14:textFill>
        </w:rPr>
        <w:t>。</w:t>
      </w:r>
    </w:p>
    <w:p w14:paraId="1049DA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Ansi="宋体" w:eastAsia="宋体" w:cs="Times New Roman"/>
          <w:color w:val="000000" w:themeColor="text1"/>
          <w:sz w:val="24"/>
          <w:highlight w:val="none"/>
          <w:lang w:val="en-US" w:eastAsia="zh-CN"/>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4.</w:t>
      </w:r>
      <w:r>
        <w:rPr>
          <w:rFonts w:hint="eastAsia"/>
        </w:rPr>
        <w:t>须持有有效的《快递业务经营许可证》（全国范围）</w:t>
      </w:r>
      <w:r>
        <w:rPr>
          <w:rFonts w:hint="eastAsia"/>
          <w:lang w:eastAsia="zh-CN"/>
        </w:rPr>
        <w:t>；</w:t>
      </w:r>
    </w:p>
    <w:p w14:paraId="3301B63D">
      <w:pPr>
        <w:pStyle w:val="11"/>
        <w:keepNext w:val="0"/>
        <w:keepLines w:val="0"/>
        <w:widowControl/>
        <w:suppressLineNumbers w:val="0"/>
        <w:spacing w:line="312" w:lineRule="auto"/>
        <w:ind w:left="479" w:leftChars="228" w:firstLine="65" w:firstLineChars="27"/>
        <w:jc w:val="left"/>
        <w:rPr>
          <w:rStyle w:val="16"/>
          <w:rFonts w:hint="eastAsia" w:ascii="宋体" w:hAnsi="宋体" w:eastAsia="宋体" w:cs="宋体"/>
          <w:color w:val="000000" w:themeColor="text1"/>
          <w:sz w:val="24"/>
          <w:szCs w:val="24"/>
          <w:highlight w:val="none"/>
          <w14:textFill>
            <w14:solidFill>
              <w14:schemeClr w14:val="tx1"/>
            </w14:solidFill>
          </w14:textFill>
        </w:rPr>
      </w:pPr>
      <w:r>
        <w:rPr>
          <w:rStyle w:val="16"/>
          <w:rFonts w:hint="eastAsia" w:ascii="宋体" w:hAnsi="宋体" w:cs="宋体"/>
          <w:color w:val="000000" w:themeColor="text1"/>
          <w:sz w:val="24"/>
          <w:szCs w:val="24"/>
          <w:highlight w:val="none"/>
          <w:lang w:val="en-US" w:eastAsia="zh-CN"/>
          <w14:textFill>
            <w14:solidFill>
              <w14:schemeClr w14:val="tx1"/>
            </w14:solidFill>
          </w14:textFill>
        </w:rPr>
        <w:t>五</w:t>
      </w:r>
      <w:r>
        <w:rPr>
          <w:rStyle w:val="16"/>
          <w:rFonts w:hint="eastAsia" w:ascii="宋体" w:hAnsi="宋体" w:eastAsia="宋体" w:cs="宋体"/>
          <w:color w:val="000000" w:themeColor="text1"/>
          <w:sz w:val="24"/>
          <w:szCs w:val="24"/>
          <w:highlight w:val="none"/>
          <w14:textFill>
            <w14:solidFill>
              <w14:schemeClr w14:val="tx1"/>
            </w14:solidFill>
          </w14:textFill>
        </w:rPr>
        <w:t>、采购文件的获取：</w:t>
      </w:r>
    </w:p>
    <w:p w14:paraId="3139AF0B">
      <w:pPr>
        <w:pStyle w:val="11"/>
        <w:keepNext w:val="0"/>
        <w:keepLines w:val="0"/>
        <w:widowControl/>
        <w:suppressLineNumbers w:val="0"/>
        <w:spacing w:line="312" w:lineRule="auto"/>
        <w:ind w:firstLine="480" w:firstLineChars="200"/>
        <w:jc w:val="left"/>
        <w:rPr>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人不再向投标人提供纸质招标文件，请投标人自行在</w:t>
      </w:r>
      <w: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t>义乌市中心医院官网(http://www.ywzxyy.com/)</w:t>
      </w:r>
      <w:r>
        <w:rPr>
          <w:rFonts w:hint="eastAsia" w:ascii="宋体" w:hAnsi="宋体" w:eastAsia="宋体" w:cs="宋体"/>
          <w:color w:val="000000" w:themeColor="text1"/>
          <w:sz w:val="24"/>
          <w:szCs w:val="24"/>
          <w:highlight w:val="none"/>
          <w14:textFill>
            <w14:solidFill>
              <w14:schemeClr w14:val="tx1"/>
            </w14:solidFill>
          </w14:textFill>
        </w:rPr>
        <w:t>下载</w:t>
      </w:r>
      <w:r>
        <w:rPr>
          <w:rFonts w:hint="eastAsia" w:ascii="宋体" w:hAnsi="宋体" w:cs="宋体"/>
          <w:color w:val="000000" w:themeColor="text1"/>
          <w:sz w:val="24"/>
          <w:szCs w:val="24"/>
          <w:highlight w:val="none"/>
          <w:lang w:val="en-US" w:eastAsia="zh-CN"/>
          <w14:textFill>
            <w14:solidFill>
              <w14:schemeClr w14:val="tx1"/>
            </w14:solidFill>
          </w14:textFill>
        </w:rPr>
        <w:t>获取</w:t>
      </w:r>
      <w:r>
        <w:rPr>
          <w:rFonts w:hint="eastAsia" w:ascii="宋体" w:hAnsi="宋体" w:eastAsia="宋体" w:cs="宋体"/>
          <w:color w:val="000000" w:themeColor="text1"/>
          <w:sz w:val="24"/>
          <w:szCs w:val="24"/>
          <w:highlight w:val="none"/>
          <w14:textFill>
            <w14:solidFill>
              <w14:schemeClr w14:val="tx1"/>
            </w14:solidFill>
          </w14:textFill>
        </w:rPr>
        <w:t>。</w:t>
      </w:r>
    </w:p>
    <w:p w14:paraId="341ABE3E">
      <w:pPr>
        <w:pStyle w:val="11"/>
        <w:keepNext w:val="0"/>
        <w:keepLines w:val="0"/>
        <w:widowControl/>
        <w:suppressLineNumbers w:val="0"/>
        <w:spacing w:line="312" w:lineRule="auto"/>
        <w:ind w:left="0" w:firstLine="480"/>
        <w:rPr>
          <w:color w:val="000000" w:themeColor="text1"/>
          <w:highlight w:val="none"/>
          <w14:textFill>
            <w14:solidFill>
              <w14:schemeClr w14:val="tx1"/>
            </w14:solidFill>
          </w14:textFill>
        </w:rPr>
      </w:pPr>
      <w:r>
        <w:rPr>
          <w:rStyle w:val="16"/>
          <w:rFonts w:hint="eastAsia" w:ascii="宋体" w:hAnsi="宋体" w:cs="宋体"/>
          <w:color w:val="000000" w:themeColor="text1"/>
          <w:sz w:val="24"/>
          <w:szCs w:val="24"/>
          <w:highlight w:val="none"/>
          <w:lang w:val="en-US" w:eastAsia="zh-CN"/>
          <w14:textFill>
            <w14:solidFill>
              <w14:schemeClr w14:val="tx1"/>
            </w14:solidFill>
          </w14:textFill>
        </w:rPr>
        <w:t>六</w:t>
      </w:r>
      <w:r>
        <w:rPr>
          <w:rStyle w:val="16"/>
          <w:rFonts w:hint="eastAsia" w:ascii="宋体" w:hAnsi="宋体" w:eastAsia="宋体" w:cs="宋体"/>
          <w:color w:val="000000" w:themeColor="text1"/>
          <w:sz w:val="24"/>
          <w:szCs w:val="24"/>
          <w:highlight w:val="none"/>
          <w14:textFill>
            <w14:solidFill>
              <w14:schemeClr w14:val="tx1"/>
            </w14:solidFill>
          </w14:textFill>
        </w:rPr>
        <w:t>、投标截止时间和地点</w:t>
      </w:r>
      <w:r>
        <w:rPr>
          <w:rFonts w:hint="eastAsia" w:ascii="宋体" w:hAnsi="宋体" w:eastAsia="宋体" w:cs="宋体"/>
          <w:color w:val="000000" w:themeColor="text1"/>
          <w:sz w:val="24"/>
          <w:szCs w:val="24"/>
          <w:highlight w:val="none"/>
          <w14:textFill>
            <w14:solidFill>
              <w14:schemeClr w14:val="tx1"/>
            </w14:solidFill>
          </w14:textFill>
        </w:rPr>
        <w:t>：</w:t>
      </w:r>
    </w:p>
    <w:p w14:paraId="730706F1">
      <w:pPr>
        <w:pStyle w:val="11"/>
        <w:keepNext w:val="0"/>
        <w:keepLines w:val="0"/>
        <w:widowControl/>
        <w:suppressLineNumbers w:val="0"/>
        <w:spacing w:line="312" w:lineRule="auto"/>
        <w:ind w:left="0"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本次招标采用不见面招标，请各供应商按技术标和商务标分开装订密封</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技术标和商务标</w:t>
      </w:r>
      <w:r>
        <w:rPr>
          <w:rStyle w:val="19"/>
          <w:rFonts w:ascii="Times New Roman" w:hAnsi="Times New Roman" w:eastAsia="宋体"/>
          <w:b w:val="0"/>
          <w:i w:val="0"/>
          <w:caps w:val="0"/>
          <w:color w:val="000000" w:themeColor="text1"/>
          <w:spacing w:val="0"/>
          <w:w w:val="100"/>
          <w:kern w:val="2"/>
          <w:sz w:val="24"/>
          <w:szCs w:val="24"/>
          <w:highlight w:val="none"/>
          <w:lang w:val="en-US" w:eastAsia="zh-CN" w:bidi="ar-SA"/>
          <w14:textFill>
            <w14:solidFill>
              <w14:schemeClr w14:val="tx1"/>
            </w14:solidFill>
          </w14:textFill>
        </w:rPr>
        <w:t>正本一份副本</w:t>
      </w:r>
      <w:r>
        <w:rPr>
          <w:rStyle w:val="19"/>
          <w:rFonts w:hint="eastAsia" w:ascii="Times New Roman" w:hAnsi="Times New Roman"/>
          <w:b w:val="0"/>
          <w:i w:val="0"/>
          <w:caps w:val="0"/>
          <w:color w:val="000000" w:themeColor="text1"/>
          <w:spacing w:val="0"/>
          <w:w w:val="100"/>
          <w:kern w:val="2"/>
          <w:sz w:val="24"/>
          <w:szCs w:val="24"/>
          <w:highlight w:val="none"/>
          <w:lang w:val="en-US" w:eastAsia="zh-CN" w:bidi="ar-SA"/>
          <w14:textFill>
            <w14:solidFill>
              <w14:schemeClr w14:val="tx1"/>
            </w14:solidFill>
          </w14:textFill>
        </w:rPr>
        <w:t>二</w:t>
      </w:r>
      <w:r>
        <w:rPr>
          <w:rStyle w:val="19"/>
          <w:rFonts w:ascii="Times New Roman" w:hAnsi="Times New Roman" w:eastAsia="宋体"/>
          <w:b w:val="0"/>
          <w:i w:val="0"/>
          <w:caps w:val="0"/>
          <w:color w:val="000000" w:themeColor="text1"/>
          <w:spacing w:val="0"/>
          <w:w w:val="100"/>
          <w:kern w:val="2"/>
          <w:sz w:val="24"/>
          <w:szCs w:val="24"/>
          <w:highlight w:val="none"/>
          <w:lang w:val="en-US" w:eastAsia="zh-CN" w:bidi="ar-SA"/>
          <w14:textFill>
            <w14:solidFill>
              <w14:schemeClr w14:val="tx1"/>
            </w14:solidFill>
          </w14:textFill>
        </w:rPr>
        <w:t>份</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，密封袋封面处注明投标公司、技术标、商务标、联系人、联系方式，并在封标处盖章。请将标书在202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日17时前寄送至义乌市中心医院行政楼一楼109室采购招标中心（江东中路699号）。</w:t>
      </w:r>
      <w:r>
        <w:rPr>
          <w:rFonts w:hint="eastAsia" w:ascii="宋体" w:hAnsi="宋体" w:cs="宋体"/>
          <w:color w:val="000000" w:themeColor="text1"/>
          <w:sz w:val="24"/>
          <w:szCs w:val="24"/>
          <w:highlight w:val="none"/>
          <w:lang w:val="en-US" w:eastAsia="zh-CN"/>
          <w14:textFill>
            <w14:solidFill>
              <w14:schemeClr w14:val="tx1"/>
            </w14:solidFill>
          </w14:textFill>
        </w:rPr>
        <w:t>收件</w:t>
      </w:r>
      <w:r>
        <w:rPr>
          <w:rFonts w:hint="eastAsia" w:ascii="宋体" w:hAnsi="宋体" w:eastAsia="宋体" w:cs="宋体"/>
          <w:color w:val="000000" w:themeColor="text1"/>
          <w:sz w:val="24"/>
          <w:szCs w:val="24"/>
          <w:highlight w:val="none"/>
          <w14:textFill>
            <w14:solidFill>
              <w14:schemeClr w14:val="tx1"/>
            </w14:solidFill>
          </w14:textFill>
        </w:rPr>
        <w:t>人：</w:t>
      </w:r>
      <w:r>
        <w:rPr>
          <w:rFonts w:hint="eastAsia" w:ascii="宋体" w:hAnsi="宋体" w:cs="宋体"/>
          <w:color w:val="000000" w:themeColor="text1"/>
          <w:sz w:val="24"/>
          <w:szCs w:val="24"/>
          <w:highlight w:val="none"/>
          <w:lang w:val="en-US" w:eastAsia="zh-CN"/>
          <w14:textFill>
            <w14:solidFill>
              <w14:schemeClr w14:val="tx1"/>
            </w14:solidFill>
          </w14:textFill>
        </w:rPr>
        <w:t>金</w:t>
      </w:r>
      <w:r>
        <w:rPr>
          <w:rFonts w:hint="eastAsia" w:ascii="宋体" w:hAnsi="宋体" w:eastAsia="宋体" w:cs="宋体"/>
          <w:color w:val="000000" w:themeColor="text1"/>
          <w:sz w:val="24"/>
          <w:szCs w:val="24"/>
          <w:highlight w:val="none"/>
          <w14:textFill>
            <w14:solidFill>
              <w14:schemeClr w14:val="tx1"/>
            </w14:solidFill>
          </w14:textFill>
        </w:rPr>
        <w:t>老师，联系电话：0579-85208030 。</w:t>
      </w:r>
    </w:p>
    <w:p w14:paraId="4A506F5D">
      <w:pPr>
        <w:pStyle w:val="11"/>
        <w:keepNext w:val="0"/>
        <w:keepLines w:val="0"/>
        <w:widowControl/>
        <w:suppressLineNumbers w:val="0"/>
        <w:spacing w:line="312" w:lineRule="auto"/>
        <w:ind w:left="0" w:firstLine="480"/>
        <w:rPr>
          <w:color w:val="000000" w:themeColor="text1"/>
          <w:highlight w:val="none"/>
          <w14:textFill>
            <w14:solidFill>
              <w14:schemeClr w14:val="tx1"/>
            </w14:solidFill>
          </w14:textFill>
        </w:rPr>
      </w:pPr>
      <w:r>
        <w:rPr>
          <w:rStyle w:val="16"/>
          <w:rFonts w:hint="eastAsia" w:ascii="宋体" w:hAnsi="宋体" w:cs="宋体"/>
          <w:color w:val="000000" w:themeColor="text1"/>
          <w:sz w:val="24"/>
          <w:szCs w:val="24"/>
          <w:highlight w:val="none"/>
          <w:lang w:val="en-US" w:eastAsia="zh-CN"/>
          <w14:textFill>
            <w14:solidFill>
              <w14:schemeClr w14:val="tx1"/>
            </w14:solidFill>
          </w14:textFill>
        </w:rPr>
        <w:t>七</w:t>
      </w:r>
      <w:r>
        <w:rPr>
          <w:rStyle w:val="16"/>
          <w:rFonts w:hint="eastAsia" w:ascii="宋体" w:hAnsi="宋体" w:eastAsia="宋体" w:cs="宋体"/>
          <w:color w:val="000000" w:themeColor="text1"/>
          <w:sz w:val="24"/>
          <w:szCs w:val="24"/>
          <w:highlight w:val="none"/>
          <w14:textFill>
            <w14:solidFill>
              <w14:schemeClr w14:val="tx1"/>
            </w14:solidFill>
          </w14:textFill>
        </w:rPr>
        <w:t>、开标时间及</w:t>
      </w:r>
      <w:r>
        <w:rPr>
          <w:rStyle w:val="16"/>
          <w:rFonts w:hint="eastAsia" w:ascii="宋体" w:hAnsi="宋体" w:cs="宋体"/>
          <w:color w:val="000000" w:themeColor="text1"/>
          <w:sz w:val="24"/>
          <w:szCs w:val="24"/>
          <w:highlight w:val="none"/>
          <w:lang w:val="en-US" w:eastAsia="zh-CN"/>
          <w14:textFill>
            <w14:solidFill>
              <w14:schemeClr w14:val="tx1"/>
            </w14:solidFill>
          </w14:textFill>
        </w:rPr>
        <w:t>地址</w:t>
      </w:r>
      <w:r>
        <w:rPr>
          <w:rStyle w:val="16"/>
          <w:rFonts w:hint="eastAsia" w:ascii="宋体" w:hAnsi="宋体" w:eastAsia="宋体" w:cs="宋体"/>
          <w:color w:val="000000" w:themeColor="text1"/>
          <w:sz w:val="24"/>
          <w:szCs w:val="24"/>
          <w:highlight w:val="none"/>
          <w14:textFill>
            <w14:solidFill>
              <w14:schemeClr w14:val="tx1"/>
            </w14:solidFill>
          </w14:textFill>
        </w:rPr>
        <w:t>：</w:t>
      </w:r>
    </w:p>
    <w:p w14:paraId="0305D1A5">
      <w:pPr>
        <w:pStyle w:val="11"/>
        <w:keepNext w:val="0"/>
        <w:keepLines w:val="0"/>
        <w:widowControl/>
        <w:suppressLineNumbers w:val="0"/>
        <w:spacing w:line="375" w:lineRule="atLeast"/>
        <w:ind w:left="479" w:leftChars="228" w:firstLine="64" w:firstLineChars="27"/>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本项目开标时间：</w:t>
      </w:r>
      <w:r>
        <w:rPr>
          <w:rStyle w:val="16"/>
          <w:rFonts w:hint="eastAsia" w:ascii="宋体" w:hAnsi="宋体" w:eastAsia="宋体" w:cs="宋体"/>
          <w:color w:val="000000" w:themeColor="text1"/>
          <w:sz w:val="24"/>
          <w:szCs w:val="24"/>
          <w:highlight w:val="none"/>
          <w:u w:val="single"/>
          <w14:textFill>
            <w14:solidFill>
              <w14:schemeClr w14:val="tx1"/>
            </w14:solidFill>
          </w14:textFill>
        </w:rPr>
        <w:t>202</w:t>
      </w:r>
      <w:r>
        <w:rPr>
          <w:rStyle w:val="16"/>
          <w:rFonts w:hint="eastAsia" w:ascii="宋体" w:hAnsi="宋体" w:cs="宋体"/>
          <w:color w:val="000000" w:themeColor="text1"/>
          <w:sz w:val="24"/>
          <w:szCs w:val="24"/>
          <w:highlight w:val="none"/>
          <w:u w:val="single"/>
          <w:lang w:val="en-US" w:eastAsia="zh-CN"/>
          <w14:textFill>
            <w14:solidFill>
              <w14:schemeClr w14:val="tx1"/>
            </w14:solidFill>
          </w14:textFill>
        </w:rPr>
        <w:t>6</w:t>
      </w:r>
      <w:r>
        <w:rPr>
          <w:rStyle w:val="16"/>
          <w:rFonts w:hint="eastAsia" w:ascii="宋体" w:hAnsi="宋体" w:eastAsia="宋体" w:cs="宋体"/>
          <w:color w:val="000000" w:themeColor="text1"/>
          <w:sz w:val="24"/>
          <w:szCs w:val="24"/>
          <w:highlight w:val="none"/>
          <w:u w:val="single"/>
          <w14:textFill>
            <w14:solidFill>
              <w14:schemeClr w14:val="tx1"/>
            </w14:solidFill>
          </w14:textFill>
        </w:rPr>
        <w:t>年</w:t>
      </w:r>
      <w:r>
        <w:rPr>
          <w:rStyle w:val="16"/>
          <w:rFonts w:hint="eastAsia" w:ascii="宋体" w:hAnsi="宋体" w:cs="宋体"/>
          <w:color w:val="000000" w:themeColor="text1"/>
          <w:sz w:val="24"/>
          <w:szCs w:val="24"/>
          <w:highlight w:val="none"/>
          <w:u w:val="single"/>
          <w:lang w:val="en-US" w:eastAsia="zh-CN"/>
          <w14:textFill>
            <w14:solidFill>
              <w14:schemeClr w14:val="tx1"/>
            </w14:solidFill>
          </w14:textFill>
        </w:rPr>
        <w:t>6</w:t>
      </w:r>
      <w:r>
        <w:rPr>
          <w:rStyle w:val="16"/>
          <w:rFonts w:hint="eastAsia" w:ascii="宋体" w:hAnsi="宋体" w:eastAsia="宋体" w:cs="宋体"/>
          <w:color w:val="000000" w:themeColor="text1"/>
          <w:sz w:val="24"/>
          <w:szCs w:val="24"/>
          <w:highlight w:val="none"/>
          <w:u w:val="single"/>
          <w14:textFill>
            <w14:solidFill>
              <w14:schemeClr w14:val="tx1"/>
            </w14:solidFill>
          </w14:textFill>
        </w:rPr>
        <w:t>月</w:t>
      </w:r>
      <w:r>
        <w:rPr>
          <w:rStyle w:val="16"/>
          <w:rFonts w:hint="eastAsia" w:ascii="宋体" w:hAnsi="宋体" w:cs="宋体"/>
          <w:color w:val="000000" w:themeColor="text1"/>
          <w:sz w:val="24"/>
          <w:szCs w:val="24"/>
          <w:highlight w:val="none"/>
          <w:u w:val="single"/>
          <w:lang w:val="en-US" w:eastAsia="zh-CN"/>
          <w14:textFill>
            <w14:solidFill>
              <w14:schemeClr w14:val="tx1"/>
            </w14:solidFill>
          </w14:textFill>
        </w:rPr>
        <w:t>2</w:t>
      </w:r>
      <w:r>
        <w:rPr>
          <w:rStyle w:val="16"/>
          <w:rFonts w:hint="eastAsia" w:ascii="宋体" w:hAnsi="宋体" w:eastAsia="宋体" w:cs="宋体"/>
          <w:color w:val="000000" w:themeColor="text1"/>
          <w:sz w:val="24"/>
          <w:szCs w:val="24"/>
          <w:highlight w:val="none"/>
          <w:u w:val="single"/>
          <w14:textFill>
            <w14:solidFill>
              <w14:schemeClr w14:val="tx1"/>
            </w14:solidFill>
          </w14:textFill>
        </w:rPr>
        <w:t>日</w:t>
      </w:r>
      <w:r>
        <w:rPr>
          <w:rStyle w:val="16"/>
          <w:rFonts w:hint="eastAsia" w:ascii="宋体" w:hAnsi="宋体" w:cs="宋体"/>
          <w:color w:val="000000" w:themeColor="text1"/>
          <w:sz w:val="24"/>
          <w:szCs w:val="24"/>
          <w:highlight w:val="none"/>
          <w:u w:val="single"/>
          <w:lang w:val="en-US" w:eastAsia="zh-CN"/>
          <w14:textFill>
            <w14:solidFill>
              <w14:schemeClr w14:val="tx1"/>
            </w14:solidFill>
          </w14:textFill>
        </w:rPr>
        <w:t>9</w:t>
      </w:r>
      <w:r>
        <w:rPr>
          <w:rStyle w:val="16"/>
          <w:rFonts w:hint="eastAsia" w:ascii="宋体" w:hAnsi="宋体" w:eastAsia="宋体" w:cs="宋体"/>
          <w:color w:val="000000" w:themeColor="text1"/>
          <w:sz w:val="24"/>
          <w:szCs w:val="24"/>
          <w:highlight w:val="none"/>
          <w:u w:val="single"/>
          <w14:textFill>
            <w14:solidFill>
              <w14:schemeClr w14:val="tx1"/>
            </w14:solidFill>
          </w14:textFill>
        </w:rPr>
        <w:t>时</w:t>
      </w:r>
      <w:r>
        <w:rPr>
          <w:rStyle w:val="16"/>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本项目不要求投标人到开标现场开标</w:t>
      </w:r>
      <w:r>
        <w:rPr>
          <w:rFonts w:hint="eastAsia" w:ascii="宋体" w:hAnsi="宋体" w:cs="宋体"/>
          <w:color w:val="000000" w:themeColor="text1"/>
          <w:sz w:val="24"/>
          <w:szCs w:val="24"/>
          <w:highlight w:val="none"/>
          <w:lang w:eastAsia="zh-CN"/>
          <w14:textFill>
            <w14:solidFill>
              <w14:schemeClr w14:val="tx1"/>
            </w14:solidFill>
          </w14:textFill>
        </w:rPr>
        <w:t>。</w:t>
      </w:r>
      <w:r>
        <w:rPr>
          <w:rStyle w:val="16"/>
          <w:rFonts w:hint="eastAsia" w:ascii="宋体" w:hAnsi="宋体" w:cs="宋体"/>
          <w:color w:val="000000" w:themeColor="text1"/>
          <w:sz w:val="24"/>
          <w:szCs w:val="24"/>
          <w:highlight w:val="none"/>
          <w:lang w:val="en-US" w:eastAsia="zh-CN"/>
          <w14:textFill>
            <w14:solidFill>
              <w14:schemeClr w14:val="tx1"/>
            </w14:solidFill>
          </w14:textFill>
        </w:rPr>
        <w:t>开标地址：义乌市中心医院行政楼1楼109室。若</w:t>
      </w:r>
      <w:r>
        <w:rPr>
          <w:rFonts w:hint="eastAsia" w:ascii="宋体" w:hAnsi="宋体" w:eastAsia="宋体" w:cs="宋体"/>
          <w:color w:val="000000" w:themeColor="text1"/>
          <w:sz w:val="24"/>
          <w:szCs w:val="24"/>
          <w:highlight w:val="none"/>
          <w14:textFill>
            <w14:solidFill>
              <w14:schemeClr w14:val="tx1"/>
            </w14:solidFill>
          </w14:textFill>
        </w:rPr>
        <w:t>本项目开标时间</w:t>
      </w:r>
      <w:r>
        <w:rPr>
          <w:rFonts w:hint="eastAsia" w:ascii="宋体" w:hAnsi="宋体" w:cs="宋体"/>
          <w:color w:val="000000" w:themeColor="text1"/>
          <w:sz w:val="24"/>
          <w:szCs w:val="24"/>
          <w:highlight w:val="none"/>
          <w:lang w:val="en-US" w:eastAsia="zh-CN"/>
          <w14:textFill>
            <w14:solidFill>
              <w14:schemeClr w14:val="tx1"/>
            </w14:solidFill>
          </w14:textFill>
        </w:rPr>
        <w:t>调整，不另行通知。</w:t>
      </w:r>
    </w:p>
    <w:p w14:paraId="59198EE4">
      <w:pPr>
        <w:pStyle w:val="11"/>
        <w:keepNext w:val="0"/>
        <w:keepLines w:val="0"/>
        <w:widowControl/>
        <w:numPr>
          <w:ilvl w:val="0"/>
          <w:numId w:val="1"/>
        </w:numPr>
        <w:suppressLineNumbers w:val="0"/>
        <w:autoSpaceDE w:val="0"/>
        <w:autoSpaceDN/>
        <w:spacing w:line="312" w:lineRule="auto"/>
        <w:ind w:left="0" w:firstLine="480"/>
        <w:rPr>
          <w:rStyle w:val="16"/>
          <w:rFonts w:hint="eastAsia" w:ascii="宋体" w:hAnsi="宋体" w:eastAsia="宋体" w:cs="宋体"/>
          <w:color w:val="000000" w:themeColor="text1"/>
          <w:sz w:val="24"/>
          <w:szCs w:val="24"/>
          <w:highlight w:val="none"/>
          <w14:textFill>
            <w14:solidFill>
              <w14:schemeClr w14:val="tx1"/>
            </w14:solidFill>
          </w14:textFill>
        </w:rPr>
      </w:pPr>
      <w:r>
        <w:rPr>
          <w:rStyle w:val="16"/>
          <w:rFonts w:hint="eastAsia" w:ascii="宋体" w:hAnsi="宋体" w:eastAsia="宋体" w:cs="宋体"/>
          <w:color w:val="000000" w:themeColor="text1"/>
          <w:sz w:val="24"/>
          <w:szCs w:val="24"/>
          <w:highlight w:val="none"/>
          <w14:textFill>
            <w14:solidFill>
              <w14:schemeClr w14:val="tx1"/>
            </w14:solidFill>
          </w14:textFill>
        </w:rPr>
        <w:t>其他事项：</w:t>
      </w:r>
    </w:p>
    <w:p w14:paraId="3B9E9A96">
      <w:pPr>
        <w:pStyle w:val="8"/>
        <w:numPr>
          <w:ilvl w:val="0"/>
          <w:numId w:val="0"/>
        </w:numPr>
        <w:adjustRightInd w:val="0"/>
        <w:snapToGrid w:val="0"/>
        <w:spacing w:line="400" w:lineRule="exact"/>
        <w:ind w:firstLine="480" w:firstLineChars="200"/>
        <w:rPr>
          <w:rFonts w:hint="default" w:ascii="新宋体" w:hAnsi="新宋体" w:eastAsia="新宋体" w:cs="Courier New"/>
          <w:color w:val="000000" w:themeColor="text1"/>
          <w:sz w:val="24"/>
          <w:highlight w:val="none"/>
          <w:lang w:val="en-US" w:eastAsia="zh-CN"/>
          <w14:textFill>
            <w14:solidFill>
              <w14:schemeClr w14:val="tx1"/>
            </w14:solidFill>
          </w14:textFill>
        </w:rPr>
      </w:pPr>
      <w:r>
        <w:rPr>
          <w:rFonts w:hint="eastAsia" w:ascii="新宋体" w:hAnsi="新宋体" w:eastAsia="新宋体" w:cs="Courier New"/>
          <w:color w:val="000000" w:themeColor="text1"/>
          <w:sz w:val="24"/>
          <w:highlight w:val="none"/>
          <w:lang w:val="en-US" w:eastAsia="zh-CN"/>
          <w14:textFill>
            <w14:solidFill>
              <w14:schemeClr w14:val="tx1"/>
            </w14:solidFill>
          </w14:textFill>
        </w:rPr>
        <w:t>1.对本次招标提出询问，请按以下方式联系：金老师0579-85208030</w:t>
      </w:r>
    </w:p>
    <w:p w14:paraId="630F12C1">
      <w:pPr>
        <w:pStyle w:val="3"/>
        <w:ind w:firstLine="480" w:firstLineChars="200"/>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p>
    <w:p w14:paraId="7EF018DE">
      <w:pPr>
        <w:pStyle w:val="3"/>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4453094">
      <w:pPr>
        <w:pStyle w:val="3"/>
        <w:jc w:val="cente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t>义乌市中心医院 </w:t>
      </w:r>
    </w:p>
    <w:p w14:paraId="03488882">
      <w:pPr>
        <w:jc w:val="center"/>
        <w:rPr>
          <w:rFonts w:ascii="宋体" w:hAnsi="宋体"/>
          <w:color w:val="000000" w:themeColor="text1"/>
          <w:w w:val="90"/>
          <w:sz w:val="28"/>
          <w:szCs w:val="28"/>
          <w:highlight w:val="none"/>
          <w14:textFill>
            <w14:solidFill>
              <w14:schemeClr w14:val="tx1"/>
            </w14:solidFill>
          </w14:textFill>
        </w:rPr>
      </w:pPr>
      <w: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t xml:space="preserve">                                     2026年月日</w:t>
      </w:r>
      <w:r>
        <w:rPr>
          <w:rFonts w:hint="eastAsia" w:ascii="宋体" w:hAnsi="宋体" w:eastAsia="宋体" w:cs="宋体"/>
          <w:color w:val="000000" w:themeColor="text1"/>
          <w:sz w:val="28"/>
          <w:szCs w:val="28"/>
          <w:highlight w:val="none"/>
          <w14:textFill>
            <w14:solidFill>
              <w14:schemeClr w14:val="tx1"/>
            </w14:solidFill>
          </w14:textFill>
        </w:rPr>
        <w:t> </w:t>
      </w:r>
    </w:p>
    <w:p w14:paraId="44C93748">
      <w:pPr>
        <w:jc w:val="center"/>
        <w:rPr>
          <w:rFonts w:ascii="宋体" w:hAnsi="宋体"/>
          <w:color w:val="000000" w:themeColor="text1"/>
          <w:w w:val="90"/>
          <w:sz w:val="28"/>
          <w:szCs w:val="28"/>
          <w:highlight w:val="none"/>
          <w14:textFill>
            <w14:solidFill>
              <w14:schemeClr w14:val="tx1"/>
            </w14:solidFill>
          </w14:textFill>
        </w:rPr>
      </w:pPr>
    </w:p>
    <w:p w14:paraId="431EC642">
      <w:pPr>
        <w:snapToGrid w:val="0"/>
        <w:spacing w:before="120" w:beforeLines="50" w:line="360" w:lineRule="auto"/>
        <w:rPr>
          <w:rFonts w:ascii="宋体" w:hAnsi="宋体"/>
          <w:color w:val="000000" w:themeColor="text1"/>
          <w:sz w:val="30"/>
          <w:szCs w:val="72"/>
          <w:highlight w:val="none"/>
          <w14:textFill>
            <w14:solidFill>
              <w14:schemeClr w14:val="tx1"/>
            </w14:solidFill>
          </w14:textFill>
        </w:rPr>
      </w:pPr>
    </w:p>
    <w:p w14:paraId="3413EC36">
      <w:pPr>
        <w:snapToGrid w:val="0"/>
        <w:spacing w:before="120" w:beforeLines="50" w:line="360" w:lineRule="auto"/>
        <w:rPr>
          <w:rFonts w:ascii="宋体" w:hAnsi="宋体"/>
          <w:color w:val="000000" w:themeColor="text1"/>
          <w:sz w:val="30"/>
          <w:szCs w:val="72"/>
          <w:highlight w:val="none"/>
          <w14:textFill>
            <w14:solidFill>
              <w14:schemeClr w14:val="tx1"/>
            </w14:solidFill>
          </w14:textFill>
        </w:rPr>
      </w:pPr>
    </w:p>
    <w:p w14:paraId="54FE05FE">
      <w:pPr>
        <w:snapToGrid w:val="0"/>
        <w:spacing w:before="120" w:beforeLines="50" w:line="360" w:lineRule="auto"/>
        <w:rPr>
          <w:rFonts w:ascii="宋体" w:hAnsi="宋体"/>
          <w:color w:val="000000" w:themeColor="text1"/>
          <w:sz w:val="30"/>
          <w:szCs w:val="72"/>
          <w:highlight w:val="none"/>
          <w14:textFill>
            <w14:solidFill>
              <w14:schemeClr w14:val="tx1"/>
            </w14:solidFill>
          </w14:textFill>
        </w:rPr>
      </w:pPr>
    </w:p>
    <w:p w14:paraId="7A671D57">
      <w:pPr>
        <w:snapToGrid w:val="0"/>
        <w:spacing w:before="120" w:beforeLines="50" w:line="360" w:lineRule="auto"/>
        <w:rPr>
          <w:rFonts w:ascii="宋体" w:hAnsi="宋体"/>
          <w:color w:val="000000" w:themeColor="text1"/>
          <w:sz w:val="30"/>
          <w:szCs w:val="72"/>
          <w:highlight w:val="none"/>
          <w14:textFill>
            <w14:solidFill>
              <w14:schemeClr w14:val="tx1"/>
            </w14:solidFill>
          </w14:textFill>
        </w:rPr>
      </w:pPr>
    </w:p>
    <w:p w14:paraId="7BE6EEC4">
      <w:pPr>
        <w:pStyle w:val="8"/>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1B1E36AB">
      <w:pPr>
        <w:pStyle w:val="8"/>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07937A6D">
      <w:pPr>
        <w:pStyle w:val="8"/>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2525B74C">
      <w:pPr>
        <w:pStyle w:val="8"/>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493CBFDA">
      <w:pPr>
        <w:pStyle w:val="8"/>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6AF0531B">
      <w:pPr>
        <w:pStyle w:val="8"/>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6A24D95E">
      <w:pPr>
        <w:pStyle w:val="8"/>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3F3711D6">
      <w:pPr>
        <w:pStyle w:val="8"/>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5F09C865">
      <w:pPr>
        <w:pStyle w:val="8"/>
        <w:spacing w:before="120" w:after="120" w:line="360" w:lineRule="auto"/>
        <w:jc w:val="center"/>
        <w:rPr>
          <w:rFonts w:ascii="创艺简标宋" w:hAnsi="宋体" w:eastAsia="创艺简标宋"/>
          <w:color w:val="000000" w:themeColor="text1"/>
          <w:sz w:val="44"/>
          <w:szCs w:val="44"/>
          <w:highlight w:val="none"/>
          <w14:textFill>
            <w14:solidFill>
              <w14:schemeClr w14:val="tx1"/>
            </w14:solidFill>
          </w14:textFill>
        </w:rPr>
      </w:pPr>
      <w:r>
        <w:rPr>
          <w:rFonts w:hint="eastAsia" w:ascii="创艺简标宋" w:hAnsi="宋体" w:eastAsia="创艺简标宋"/>
          <w:color w:val="000000" w:themeColor="text1"/>
          <w:sz w:val="44"/>
          <w:szCs w:val="44"/>
          <w:highlight w:val="none"/>
          <w14:textFill>
            <w14:solidFill>
              <w14:schemeClr w14:val="tx1"/>
            </w14:solidFill>
          </w14:textFill>
        </w:rPr>
        <w:t>目    录</w:t>
      </w:r>
    </w:p>
    <w:p w14:paraId="19BBA985">
      <w:pPr>
        <w:pStyle w:val="8"/>
        <w:spacing w:before="120" w:after="120" w:line="360" w:lineRule="auto"/>
        <w:jc w:val="center"/>
        <w:rPr>
          <w:rFonts w:ascii="创艺简标宋" w:hAnsi="宋体" w:eastAsia="创艺简标宋"/>
          <w:color w:val="000000" w:themeColor="text1"/>
          <w:sz w:val="44"/>
          <w:szCs w:val="44"/>
          <w:highlight w:val="none"/>
          <w14:textFill>
            <w14:solidFill>
              <w14:schemeClr w14:val="tx1"/>
            </w14:solidFill>
          </w14:textFill>
        </w:rPr>
      </w:pPr>
    </w:p>
    <w:p w14:paraId="41730760">
      <w:pPr>
        <w:numPr>
          <w:ilvl w:val="0"/>
          <w:numId w:val="2"/>
        </w:numPr>
        <w:spacing w:before="120" w:beforeLines="50" w:line="480" w:lineRule="exact"/>
        <w:rPr>
          <w:rFonts w:hint="eastAsia" w:ascii="宋体" w:hAnsi="宋体"/>
          <w:color w:val="000000" w:themeColor="text1"/>
          <w:sz w:val="30"/>
          <w:highlight w:val="none"/>
          <w:lang w:val="en-US" w:eastAsia="zh-CN"/>
          <w14:textFill>
            <w14:solidFill>
              <w14:schemeClr w14:val="tx1"/>
            </w14:solidFill>
          </w14:textFill>
        </w:rPr>
      </w:pPr>
      <w:r>
        <w:rPr>
          <w:rFonts w:hint="eastAsia" w:ascii="宋体" w:hAnsi="宋体"/>
          <w:color w:val="000000" w:themeColor="text1"/>
          <w:sz w:val="30"/>
          <w:highlight w:val="none"/>
          <w:lang w:val="en-US" w:eastAsia="zh-CN"/>
          <w14:textFill>
            <w14:solidFill>
              <w14:schemeClr w14:val="tx1"/>
            </w14:solidFill>
          </w14:textFill>
        </w:rPr>
        <w:t xml:space="preserve"> 采购需求</w:t>
      </w:r>
    </w:p>
    <w:p w14:paraId="27402785">
      <w:pPr>
        <w:numPr>
          <w:ilvl w:val="0"/>
          <w:numId w:val="2"/>
        </w:numPr>
        <w:spacing w:before="120" w:beforeLines="50" w:line="480" w:lineRule="exact"/>
        <w:rPr>
          <w:rFonts w:hint="eastAsia" w:ascii="宋体" w:hAnsi="宋体"/>
          <w:color w:val="000000" w:themeColor="text1"/>
          <w:sz w:val="30"/>
          <w:highlight w:val="none"/>
          <w:lang w:val="en-US" w:eastAsia="zh-CN"/>
          <w14:textFill>
            <w14:solidFill>
              <w14:schemeClr w14:val="tx1"/>
            </w14:solidFill>
          </w14:textFill>
        </w:rPr>
      </w:pPr>
      <w:r>
        <w:rPr>
          <w:rFonts w:hint="eastAsia" w:ascii="宋体" w:hAnsi="宋体"/>
          <w:color w:val="000000" w:themeColor="text1"/>
          <w:sz w:val="30"/>
          <w:highlight w:val="none"/>
          <w:lang w:val="en-US" w:eastAsia="zh-CN"/>
          <w14:textFill>
            <w14:solidFill>
              <w14:schemeClr w14:val="tx1"/>
            </w14:solidFill>
          </w14:textFill>
        </w:rPr>
        <w:t xml:space="preserve"> 谈判成交评定标准</w:t>
      </w:r>
    </w:p>
    <w:p w14:paraId="44BF3E5A">
      <w:pPr>
        <w:numPr>
          <w:ilvl w:val="0"/>
          <w:numId w:val="2"/>
        </w:numPr>
        <w:spacing w:before="120" w:beforeLines="50" w:line="480" w:lineRule="exact"/>
        <w:rPr>
          <w:rFonts w:hint="eastAsia" w:ascii="宋体" w:hAnsi="宋体"/>
          <w:color w:val="000000" w:themeColor="text1"/>
          <w:sz w:val="30"/>
          <w:highlight w:val="none"/>
          <w:lang w:val="en-US" w:eastAsia="zh-CN"/>
          <w14:textFill>
            <w14:solidFill>
              <w14:schemeClr w14:val="tx1"/>
            </w14:solidFill>
          </w14:textFill>
        </w:rPr>
      </w:pPr>
      <w:r>
        <w:rPr>
          <w:rFonts w:hint="eastAsia" w:ascii="宋体" w:hAnsi="宋体"/>
          <w:color w:val="000000" w:themeColor="text1"/>
          <w:sz w:val="30"/>
          <w:highlight w:val="none"/>
          <w:lang w:val="en-US" w:eastAsia="zh-CN"/>
          <w14:textFill>
            <w14:solidFill>
              <w14:schemeClr w14:val="tx1"/>
            </w14:solidFill>
          </w14:textFill>
        </w:rPr>
        <w:t xml:space="preserve"> 评标方法</w:t>
      </w:r>
    </w:p>
    <w:p w14:paraId="1003E53E">
      <w:pPr>
        <w:numPr>
          <w:ilvl w:val="0"/>
          <w:numId w:val="2"/>
        </w:numPr>
        <w:spacing w:before="120" w:beforeLines="50" w:line="480" w:lineRule="exact"/>
        <w:rPr>
          <w:rFonts w:hint="default" w:ascii="宋体" w:hAnsi="宋体"/>
          <w:color w:val="000000" w:themeColor="text1"/>
          <w:sz w:val="30"/>
          <w:highlight w:val="none"/>
          <w:lang w:val="en-US" w:eastAsia="zh-CN"/>
          <w14:textFill>
            <w14:solidFill>
              <w14:schemeClr w14:val="tx1"/>
            </w14:solidFill>
          </w14:textFill>
        </w:rPr>
      </w:pPr>
      <w:r>
        <w:rPr>
          <w:rFonts w:hint="eastAsia" w:ascii="宋体" w:hAnsi="宋体"/>
          <w:color w:val="000000" w:themeColor="text1"/>
          <w:sz w:val="30"/>
          <w:highlight w:val="none"/>
          <w:lang w:val="en-US" w:eastAsia="zh-CN"/>
          <w14:textFill>
            <w14:solidFill>
              <w14:schemeClr w14:val="tx1"/>
            </w14:solidFill>
          </w14:textFill>
        </w:rPr>
        <w:t xml:space="preserve"> 附件</w:t>
      </w:r>
    </w:p>
    <w:p w14:paraId="7680B3D8">
      <w:pPr>
        <w:pStyle w:val="12"/>
        <w:rPr>
          <w:rFonts w:hint="eastAsia" w:ascii="宋体" w:hAnsi="宋体"/>
          <w:color w:val="000000" w:themeColor="text1"/>
          <w:sz w:val="30"/>
          <w:highlight w:val="none"/>
          <w:lang w:val="en-US" w:eastAsia="zh-CN"/>
          <w14:textFill>
            <w14:solidFill>
              <w14:schemeClr w14:val="tx1"/>
            </w14:solidFill>
          </w14:textFill>
        </w:rPr>
      </w:pPr>
      <w:r>
        <w:rPr>
          <w:rFonts w:hint="eastAsia" w:ascii="宋体" w:hAnsi="宋体"/>
          <w:color w:val="000000" w:themeColor="text1"/>
          <w:sz w:val="30"/>
          <w:highlight w:val="none"/>
          <w:lang w:val="en-US" w:eastAsia="zh-CN"/>
          <w14:textFill>
            <w14:solidFill>
              <w14:schemeClr w14:val="tx1"/>
            </w14:solidFill>
          </w14:textFill>
        </w:rPr>
        <w:t xml:space="preserve">       </w:t>
      </w:r>
    </w:p>
    <w:p w14:paraId="49C21528">
      <w:pPr>
        <w:rPr>
          <w:rFonts w:hint="default"/>
          <w:highlight w:val="none"/>
          <w:lang w:val="en-US"/>
        </w:rPr>
      </w:pPr>
      <w:r>
        <w:rPr>
          <w:rFonts w:hint="eastAsia" w:ascii="宋体" w:hAnsi="宋体"/>
          <w:color w:val="000000" w:themeColor="text1"/>
          <w:sz w:val="30"/>
          <w:highlight w:val="none"/>
          <w:lang w:val="en-US" w:eastAsia="zh-CN"/>
          <w14:textFill>
            <w14:solidFill>
              <w14:schemeClr w14:val="tx1"/>
            </w14:solidFill>
          </w14:textFill>
        </w:rPr>
        <w:t xml:space="preserve">       </w:t>
      </w:r>
    </w:p>
    <w:p w14:paraId="16D91CEA">
      <w:pPr>
        <w:spacing w:before="120" w:beforeLines="50" w:line="480" w:lineRule="exact"/>
        <w:rPr>
          <w:rFonts w:ascii="宋体" w:hAnsi="宋体"/>
          <w:color w:val="000000" w:themeColor="text1"/>
          <w:sz w:val="30"/>
          <w:highlight w:val="none"/>
          <w14:textFill>
            <w14:solidFill>
              <w14:schemeClr w14:val="tx1"/>
            </w14:solidFill>
          </w14:textFill>
        </w:rPr>
      </w:pPr>
    </w:p>
    <w:p w14:paraId="7FC84AD5">
      <w:pPr>
        <w:spacing w:before="120" w:beforeLines="50" w:line="480" w:lineRule="exact"/>
        <w:rPr>
          <w:rFonts w:ascii="宋体" w:hAnsi="宋体"/>
          <w:color w:val="000000" w:themeColor="text1"/>
          <w:sz w:val="30"/>
          <w:highlight w:val="none"/>
          <w14:textFill>
            <w14:solidFill>
              <w14:schemeClr w14:val="tx1"/>
            </w14:solidFill>
          </w14:textFill>
        </w:rPr>
      </w:pPr>
    </w:p>
    <w:p w14:paraId="2544D747">
      <w:pPr>
        <w:spacing w:before="120" w:beforeLines="50" w:line="480" w:lineRule="exact"/>
        <w:rPr>
          <w:rFonts w:ascii="宋体" w:hAnsi="宋体"/>
          <w:color w:val="000000" w:themeColor="text1"/>
          <w:sz w:val="30"/>
          <w:highlight w:val="none"/>
          <w14:textFill>
            <w14:solidFill>
              <w14:schemeClr w14:val="tx1"/>
            </w14:solidFill>
          </w14:textFill>
        </w:rPr>
      </w:pPr>
    </w:p>
    <w:p w14:paraId="59F18E5A">
      <w:pPr>
        <w:spacing w:before="120" w:beforeLines="50" w:line="480" w:lineRule="exact"/>
        <w:rPr>
          <w:rFonts w:hint="eastAsia" w:ascii="宋体" w:hAnsi="宋体"/>
          <w:color w:val="000000" w:themeColor="text1"/>
          <w:sz w:val="30"/>
          <w:highlight w:val="none"/>
          <w14:textFill>
            <w14:solidFill>
              <w14:schemeClr w14:val="tx1"/>
            </w14:solidFill>
          </w14:textFill>
        </w:rPr>
      </w:pPr>
    </w:p>
    <w:p w14:paraId="5BECEE22">
      <w:pPr>
        <w:spacing w:before="120" w:beforeLines="50" w:line="480" w:lineRule="exact"/>
        <w:rPr>
          <w:rFonts w:hint="eastAsia" w:ascii="宋体" w:hAnsi="宋体"/>
          <w:color w:val="000000" w:themeColor="text1"/>
          <w:sz w:val="30"/>
          <w:highlight w:val="none"/>
          <w14:textFill>
            <w14:solidFill>
              <w14:schemeClr w14:val="tx1"/>
            </w14:solidFill>
          </w14:textFill>
        </w:rPr>
      </w:pPr>
    </w:p>
    <w:p w14:paraId="5B2F19B3">
      <w:pPr>
        <w:spacing w:before="120" w:beforeLines="50" w:line="480" w:lineRule="exact"/>
        <w:rPr>
          <w:rFonts w:ascii="宋体" w:hAnsi="宋体"/>
          <w:color w:val="000000" w:themeColor="text1"/>
          <w:sz w:val="30"/>
          <w:highlight w:val="none"/>
          <w14:textFill>
            <w14:solidFill>
              <w14:schemeClr w14:val="tx1"/>
            </w14:solidFill>
          </w14:textFill>
        </w:rPr>
      </w:pPr>
    </w:p>
    <w:p w14:paraId="2862627E">
      <w:pPr>
        <w:spacing w:before="120" w:beforeLines="50" w:line="480" w:lineRule="exact"/>
        <w:rPr>
          <w:rFonts w:ascii="宋体" w:hAnsi="宋体"/>
          <w:color w:val="000000" w:themeColor="text1"/>
          <w:sz w:val="30"/>
          <w:szCs w:val="20"/>
          <w:highlight w:val="none"/>
          <w14:textFill>
            <w14:solidFill>
              <w14:schemeClr w14:val="tx1"/>
            </w14:solidFill>
          </w14:textFill>
        </w:rPr>
      </w:pPr>
    </w:p>
    <w:p w14:paraId="02C98675">
      <w:pPr>
        <w:spacing w:line="360" w:lineRule="auto"/>
        <w:rPr>
          <w:b/>
          <w:bCs/>
          <w:color w:val="000000" w:themeColor="text1"/>
          <w:sz w:val="30"/>
          <w:highlight w:val="none"/>
          <w14:textFill>
            <w14:solidFill>
              <w14:schemeClr w14:val="tx1"/>
            </w14:solidFill>
          </w14:textFill>
        </w:rPr>
      </w:pPr>
    </w:p>
    <w:p w14:paraId="0B0DDC09">
      <w:pPr>
        <w:pStyle w:val="3"/>
        <w:rPr>
          <w:b/>
          <w:bCs/>
          <w:color w:val="000000" w:themeColor="text1"/>
          <w:sz w:val="30"/>
          <w:highlight w:val="none"/>
          <w14:textFill>
            <w14:solidFill>
              <w14:schemeClr w14:val="tx1"/>
            </w14:solidFill>
          </w14:textFill>
        </w:rPr>
      </w:pPr>
    </w:p>
    <w:p w14:paraId="0DB6EBA1">
      <w:pPr>
        <w:rPr>
          <w:b/>
          <w:bCs/>
          <w:color w:val="000000" w:themeColor="text1"/>
          <w:sz w:val="30"/>
          <w:highlight w:val="none"/>
          <w14:textFill>
            <w14:solidFill>
              <w14:schemeClr w14:val="tx1"/>
            </w14:solidFill>
          </w14:textFill>
        </w:rPr>
      </w:pPr>
    </w:p>
    <w:p w14:paraId="46DA73C7">
      <w:pPr>
        <w:snapToGrid w:val="0"/>
        <w:spacing w:after="120" w:afterLines="50"/>
        <w:jc w:val="both"/>
        <w:rPr>
          <w:rFonts w:ascii="黑体" w:hAnsi="宋体" w:eastAsia="黑体"/>
          <w:color w:val="000000" w:themeColor="text1"/>
          <w:sz w:val="30"/>
          <w:szCs w:val="30"/>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黑体" w:hAnsi="宋体" w:eastAsia="黑体"/>
          <w:color w:val="000000" w:themeColor="text1"/>
          <w:sz w:val="30"/>
          <w:szCs w:val="30"/>
          <w:highlight w:val="none"/>
          <w14:textFill>
            <w14:solidFill>
              <w14:schemeClr w14:val="tx1"/>
            </w14:solidFill>
          </w14:textFill>
        </w:rPr>
        <w:t>第</w:t>
      </w:r>
      <w:r>
        <w:rPr>
          <w:rFonts w:hint="eastAsia" w:ascii="黑体" w:hAnsi="宋体" w:eastAsia="黑体"/>
          <w:color w:val="000000" w:themeColor="text1"/>
          <w:sz w:val="30"/>
          <w:szCs w:val="30"/>
          <w:highlight w:val="none"/>
          <w:lang w:val="en-US" w:eastAsia="zh-CN"/>
          <w14:textFill>
            <w14:solidFill>
              <w14:schemeClr w14:val="tx1"/>
            </w14:solidFill>
          </w14:textFill>
        </w:rPr>
        <w:t>一</w:t>
      </w:r>
      <w:r>
        <w:rPr>
          <w:rFonts w:hint="eastAsia" w:ascii="黑体" w:hAnsi="宋体" w:eastAsia="黑体"/>
          <w:color w:val="000000" w:themeColor="text1"/>
          <w:sz w:val="30"/>
          <w:szCs w:val="30"/>
          <w:highlight w:val="none"/>
          <w14:textFill>
            <w14:solidFill>
              <w14:schemeClr w14:val="tx1"/>
            </w14:solidFill>
          </w14:textFill>
        </w:rPr>
        <w:t xml:space="preserve">章  </w:t>
      </w:r>
      <w:r>
        <w:rPr>
          <w:rFonts w:hint="eastAsia" w:ascii="黑体" w:hAnsi="宋体" w:eastAsia="黑体"/>
          <w:bCs/>
          <w:color w:val="000000" w:themeColor="text1"/>
          <w:sz w:val="30"/>
          <w:szCs w:val="30"/>
          <w:highlight w:val="none"/>
          <w:lang w:val="en-US" w:eastAsia="zh-CN"/>
          <w14:textFill>
            <w14:solidFill>
              <w14:schemeClr w14:val="tx1"/>
            </w14:solidFill>
          </w14:textFill>
        </w:rPr>
        <w:t>采购</w:t>
      </w:r>
      <w:r>
        <w:rPr>
          <w:rFonts w:hint="eastAsia" w:ascii="黑体" w:hAnsi="宋体" w:eastAsia="黑体"/>
          <w:color w:val="000000" w:themeColor="text1"/>
          <w:sz w:val="30"/>
          <w:szCs w:val="30"/>
          <w:highlight w:val="none"/>
          <w14:textFill>
            <w14:solidFill>
              <w14:schemeClr w14:val="tx1"/>
            </w14:solidFill>
          </w14:textFill>
        </w:rPr>
        <w:t>需求</w:t>
      </w:r>
    </w:p>
    <w:p w14:paraId="44917D8A">
      <w:pPr>
        <w:pStyle w:val="4"/>
        <w:snapToGrid w:val="0"/>
        <w:spacing w:line="420" w:lineRule="exact"/>
        <w:ind w:firstLine="482" w:firstLineChars="200"/>
        <w:rPr>
          <w:rFonts w:hint="eastAsia" w:ascii="宋体" w:hAnsi="宋体"/>
          <w:b/>
          <w:color w:val="000000" w:themeColor="text1"/>
          <w:kern w:val="0"/>
          <w:sz w:val="24"/>
          <w:highlight w:val="none"/>
          <w:lang w:eastAsia="zh-CN"/>
          <w14:textFill>
            <w14:solidFill>
              <w14:schemeClr w14:val="tx1"/>
            </w14:solidFill>
          </w14:textFill>
        </w:rPr>
      </w:pPr>
      <w:r>
        <w:rPr>
          <w:rFonts w:hint="eastAsia" w:ascii="宋体" w:hAnsi="宋体"/>
          <w:b/>
          <w:color w:val="000000" w:themeColor="text1"/>
          <w:kern w:val="0"/>
          <w:sz w:val="24"/>
          <w:highlight w:val="none"/>
          <w:lang w:eastAsia="zh-CN"/>
          <w14:textFill>
            <w14:solidFill>
              <w14:schemeClr w14:val="tx1"/>
            </w14:solidFill>
          </w14:textFill>
        </w:rPr>
        <w:t>一、采购内容</w:t>
      </w:r>
    </w:p>
    <w:p w14:paraId="63351866">
      <w:pPr>
        <w:pStyle w:val="5"/>
        <w:ind w:left="479" w:leftChars="228" w:firstLine="480" w:firstLineChars="20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义乌市中心医院快递服务一体化合作项目</w:t>
      </w:r>
    </w:p>
    <w:p w14:paraId="100B15FE">
      <w:pPr>
        <w:widowControl/>
        <w:tabs>
          <w:tab w:val="left" w:pos="789"/>
        </w:tabs>
        <w:spacing w:line="360" w:lineRule="exact"/>
        <w:ind w:firstLine="240" w:firstLineChars="100"/>
        <w:jc w:val="left"/>
        <w:rPr>
          <w:rFonts w:hint="eastAsia" w:ascii="宋体" w:hAnsi="宋体"/>
          <w:b/>
          <w:bCs/>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w:t>
      </w:r>
      <w:r>
        <w:rPr>
          <w:rFonts w:hint="eastAsia" w:ascii="宋体" w:hAnsi="宋体"/>
          <w:color w:val="000000" w:themeColor="text1"/>
          <w:kern w:val="0"/>
          <w:sz w:val="24"/>
          <w:highlight w:val="none"/>
          <w:lang w:eastAsia="zh-CN"/>
          <w14:textFill>
            <w14:solidFill>
              <w14:schemeClr w14:val="tx1"/>
            </w14:solidFill>
          </w14:textFill>
        </w:rPr>
        <w:t>.</w:t>
      </w:r>
      <w:r>
        <w:rPr>
          <w:rFonts w:hint="eastAsia" w:ascii="宋体" w:hAnsi="宋体"/>
          <w:b/>
          <w:bCs/>
          <w:color w:val="000000" w:themeColor="text1"/>
          <w:kern w:val="0"/>
          <w:sz w:val="24"/>
          <w:highlight w:val="none"/>
          <w:lang w:val="en-US" w:eastAsia="zh-CN"/>
          <w14:textFill>
            <w14:solidFill>
              <w14:schemeClr w14:val="tx1"/>
            </w14:solidFill>
          </w14:textFill>
        </w:rPr>
        <w:t>投标须知</w:t>
      </w:r>
      <w:r>
        <w:rPr>
          <w:rFonts w:hint="eastAsia" w:ascii="宋体" w:hAnsi="宋体"/>
          <w:b/>
          <w:bCs/>
          <w:color w:val="000000" w:themeColor="text1"/>
          <w:kern w:val="0"/>
          <w:sz w:val="24"/>
          <w:highlight w:val="none"/>
          <w14:textFill>
            <w14:solidFill>
              <w14:schemeClr w14:val="tx1"/>
            </w14:solidFill>
          </w14:textFill>
        </w:rPr>
        <w:t>：</w:t>
      </w:r>
    </w:p>
    <w:p w14:paraId="0000D3D7">
      <w:pPr>
        <w:pStyle w:val="8"/>
        <w:spacing w:line="460" w:lineRule="exact"/>
        <w:ind w:firstLine="48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1</w:t>
      </w:r>
      <w:r>
        <w:rPr>
          <w:rFonts w:ascii="Times New Roman" w:hAnsi="Times New Roman"/>
          <w:color w:val="000000" w:themeColor="text1"/>
          <w:sz w:val="24"/>
          <w:szCs w:val="24"/>
          <w:highlight w:val="none"/>
          <w14:textFill>
            <w14:solidFill>
              <w14:schemeClr w14:val="tx1"/>
            </w14:solidFill>
          </w14:textFill>
        </w:rPr>
        <w:t>.1</w:t>
      </w:r>
      <w:r>
        <w:rPr>
          <w:rFonts w:hint="eastAsia" w:hAnsi="宋体"/>
          <w:color w:val="000000" w:themeColor="text1"/>
          <w:sz w:val="24"/>
          <w:highlight w:val="none"/>
          <w14:textFill>
            <w14:solidFill>
              <w14:schemeClr w14:val="tx1"/>
            </w14:solidFill>
          </w14:textFill>
        </w:rPr>
        <w:t>采购方不统一组织投标方前往项目实施场地踏勘，根据项目实际投标需求，投标方可自行前往项目实施场地进行现场探勘，以获取编制投标文件所需资料，如投标方因未现场踏勘原因导致投标文件出现错误或遗漏的，由投标方自行承担责任</w:t>
      </w:r>
      <w:r>
        <w:rPr>
          <w:rFonts w:ascii="Times New Roman" w:hAnsi="宋体"/>
          <w:color w:val="000000" w:themeColor="text1"/>
          <w:sz w:val="24"/>
          <w:szCs w:val="24"/>
          <w:highlight w:val="none"/>
          <w14:textFill>
            <w14:solidFill>
              <w14:schemeClr w14:val="tx1"/>
            </w14:solidFill>
          </w14:textFill>
        </w:rPr>
        <w:t>。</w:t>
      </w:r>
    </w:p>
    <w:p w14:paraId="0A2EE25F">
      <w:pPr>
        <w:pStyle w:val="8"/>
        <w:spacing w:line="460" w:lineRule="exact"/>
        <w:ind w:firstLine="48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1</w:t>
      </w:r>
      <w:r>
        <w:rPr>
          <w:rFonts w:ascii="Times New Roman" w:hAnsi="Times New Roman"/>
          <w:color w:val="000000" w:themeColor="text1"/>
          <w:sz w:val="24"/>
          <w:szCs w:val="24"/>
          <w:highlight w:val="none"/>
          <w14:textFill>
            <w14:solidFill>
              <w14:schemeClr w14:val="tx1"/>
            </w14:solidFill>
          </w14:textFill>
        </w:rPr>
        <w:t>.2投标单位在考察过程中发生的各类事件及所发生的各项费用，均由投标单位</w:t>
      </w:r>
      <w:r>
        <w:rPr>
          <w:rFonts w:ascii="Times New Roman" w:hAnsi="宋体"/>
          <w:color w:val="000000" w:themeColor="text1"/>
          <w:sz w:val="24"/>
          <w:szCs w:val="24"/>
          <w:highlight w:val="none"/>
          <w14:textFill>
            <w14:solidFill>
              <w14:schemeClr w14:val="tx1"/>
            </w14:solidFill>
          </w14:textFill>
        </w:rPr>
        <w:t>自行承担。采购人概不负责。</w:t>
      </w:r>
    </w:p>
    <w:p w14:paraId="1678673B">
      <w:pPr>
        <w:pStyle w:val="8"/>
        <w:adjustRightInd w:val="0"/>
        <w:snapToGrid w:val="0"/>
        <w:spacing w:line="460" w:lineRule="exact"/>
        <w:ind w:firstLine="480" w:firstLineChars="20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1</w:t>
      </w:r>
      <w:r>
        <w:rPr>
          <w:rFonts w:ascii="Times New Roman" w:hAnsi="Times New Roman"/>
          <w:color w:val="000000" w:themeColor="text1"/>
          <w:sz w:val="24"/>
          <w:szCs w:val="24"/>
          <w:highlight w:val="none"/>
          <w14:textFill>
            <w14:solidFill>
              <w14:schemeClr w14:val="tx1"/>
            </w14:solidFill>
          </w14:textFill>
        </w:rPr>
        <w:t>.3</w:t>
      </w:r>
      <w:r>
        <w:rPr>
          <w:rFonts w:ascii="Times New Roman" w:hAnsi="宋体"/>
          <w:color w:val="000000" w:themeColor="text1"/>
          <w:sz w:val="24"/>
          <w:szCs w:val="24"/>
          <w:highlight w:val="none"/>
          <w14:textFill>
            <w14:solidFill>
              <w14:schemeClr w14:val="tx1"/>
            </w14:solidFill>
          </w14:textFill>
        </w:rPr>
        <w:t>采购人向投标单位提供的有关现场的数据和资料，是采购人现有的能被投标人利用的资料，采购人对投标人据此做出的任何推论、理解和结论不负责任。</w:t>
      </w:r>
    </w:p>
    <w:p w14:paraId="3B2DC461">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r>
        <w:rPr>
          <w:color w:val="000000" w:themeColor="text1"/>
          <w:sz w:val="24"/>
          <w:highlight w:val="none"/>
          <w14:textFill>
            <w14:solidFill>
              <w14:schemeClr w14:val="tx1"/>
            </w14:solidFill>
          </w14:textFill>
        </w:rPr>
        <w:t>.4</w:t>
      </w:r>
      <w:r>
        <w:rPr>
          <w:rFonts w:hAnsi="宋体"/>
          <w:color w:val="000000" w:themeColor="text1"/>
          <w:sz w:val="24"/>
          <w:highlight w:val="none"/>
          <w14:textFill>
            <w14:solidFill>
              <w14:schemeClr w14:val="tx1"/>
            </w14:solidFill>
          </w14:textFill>
        </w:rPr>
        <w:t>现场踏勘完毕，将认为投标人己了解现场情况，并充分理解了为之所承担的风险、义务和责任。</w:t>
      </w:r>
    </w:p>
    <w:p w14:paraId="715FDD9F">
      <w:pPr>
        <w:numPr>
          <w:ilvl w:val="0"/>
          <w:numId w:val="3"/>
        </w:numPr>
        <w:snapToGrid w:val="0"/>
        <w:spacing w:line="360" w:lineRule="exact"/>
        <w:ind w:firstLine="482" w:firstLineChars="200"/>
        <w:rPr>
          <w:rFonts w:hint="eastAsia" w:ascii="宋体" w:hAnsi="宋体" w:eastAsia="宋体" w:cs="Times New Roman"/>
          <w:b/>
          <w:color w:val="000000" w:themeColor="text1"/>
          <w:kern w:val="0"/>
          <w:sz w:val="24"/>
          <w:szCs w:val="20"/>
          <w:highlight w:val="none"/>
          <w:lang w:val="en-US" w:eastAsia="zh-CN" w:bidi="ar-SA"/>
          <w14:textFill>
            <w14:solidFill>
              <w14:schemeClr w14:val="tx1"/>
            </w14:solidFill>
          </w14:textFill>
        </w:rPr>
      </w:pPr>
      <w:r>
        <w:rPr>
          <w:rFonts w:hint="eastAsia" w:ascii="宋体" w:hAnsi="宋体" w:eastAsia="宋体" w:cs="Times New Roman"/>
          <w:b/>
          <w:color w:val="000000" w:themeColor="text1"/>
          <w:kern w:val="0"/>
          <w:sz w:val="24"/>
          <w:szCs w:val="20"/>
          <w:highlight w:val="none"/>
          <w:lang w:val="en-US" w:eastAsia="zh-CN" w:bidi="ar-SA"/>
          <w14:textFill>
            <w14:solidFill>
              <w14:schemeClr w14:val="tx1"/>
            </w14:solidFill>
          </w14:textFill>
        </w:rPr>
        <w:t>服务要求：</w:t>
      </w:r>
      <w:bookmarkStart w:id="0" w:name="_Toc24414"/>
    </w:p>
    <w:p w14:paraId="6D7A1A60">
      <w:pPr>
        <w:pStyle w:val="8"/>
        <w:numPr>
          <w:ilvl w:val="0"/>
          <w:numId w:val="0"/>
        </w:numPr>
        <w:spacing w:line="460" w:lineRule="exact"/>
        <w:ind w:leftChars="20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①总体要求</w:t>
      </w:r>
    </w:p>
    <w:p w14:paraId="168C915D">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涵盖医院所有快递包裹的统一收寄、分拣、投递、保管及代投服务，以及其他快递公司的快递包裹的统一入站、代投管理。同时，负责医院公务及业务邮件寄递服务，包含但不限于院内公务文件、资料、病历、体检报告单、检验报告等，以及中药、西药等药品寄递服务。</w:t>
      </w:r>
    </w:p>
    <w:p w14:paraId="44744423">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②服务时间要求  </w:t>
      </w:r>
    </w:p>
    <w:p w14:paraId="1C14C718">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（1）周一至周五：人工驻点服务模式，服务时间8:30—17:30；  </w:t>
      </w:r>
    </w:p>
    <w:p w14:paraId="34B57256">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（2）周六、周日及法定节假日：无人化自助驿站模式，驿站开放自助取件、扫码出库服务，不安排人工驻点，不提供现场揽收及人工寄件服务；法定节假日具体安排根据医院实际需求另行协商。</w:t>
      </w:r>
    </w:p>
    <w:p w14:paraId="1F32E18A">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③人员配置  </w:t>
      </w:r>
    </w:p>
    <w:p w14:paraId="4AE72652">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（1）周一至周五安排不少于1名专职人员驻点服务，满足日均约350票快递处理需求；若高峰期或快递件量超过600票/天，投标人须增配人员保障运营；  </w:t>
      </w:r>
    </w:p>
    <w:p w14:paraId="41A15988">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（2）配置揽投专项人员，全年提供上门揽收服务；  </w:t>
      </w:r>
    </w:p>
    <w:p w14:paraId="253FCD58">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（3）派驻人员须统一着装、持证上岗、文明服务，遵守医院各项管理规定，服从医院后勤管理要求；  </w:t>
      </w:r>
    </w:p>
    <w:p w14:paraId="7A6273F2">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（4）定期开展服务、安全及保密培训。</w:t>
      </w:r>
    </w:p>
    <w:p w14:paraId="51191EFC">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④寄递服务要求  </w:t>
      </w:r>
    </w:p>
    <w:p w14:paraId="3EB147F6">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（1）须提供覆盖全国各省、市、县、镇的寄递能力；  </w:t>
      </w:r>
    </w:p>
    <w:p w14:paraId="50580CD6">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（2）须具备药品（包括中药、西药）、医疗样本等特殊物品的寄递资质和运输安全保障能力，确保符合相关法规规定的包装和运输要求；  </w:t>
      </w:r>
    </w:p>
    <w:p w14:paraId="50AD662A">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（3）须具备信息安全管理能力，建立保密制度，确保患者信息、病历资料、检验报告等涉及个人隐私的寄递物品安全保密，不得泄露；  </w:t>
      </w:r>
    </w:p>
    <w:p w14:paraId="0A1CD178">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（4）工作日固定时段上门揽投，服务各临床科室与行政部门；  </w:t>
      </w:r>
    </w:p>
    <w:p w14:paraId="37B340EE">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（5）须提供快递信息实时跟踪查询服务；  </w:t>
      </w:r>
    </w:p>
    <w:p w14:paraId="357BB851">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（6）须承担院内公务件配送、报纸发放等内部分发服务。</w:t>
      </w:r>
    </w:p>
    <w:p w14:paraId="775AFDC9">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⑤运营管理要求  </w:t>
      </w:r>
    </w:p>
    <w:p w14:paraId="74BA58EF">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（1）须对院区所有快递包裹（含其他快递公司投递的包裹）实行统一接收、统一入库登记、统一分拣管理、统一代投配送；其他快递公司人员仅限进入驿站作业，不得进入院区其他区域；</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  </w:t>
      </w:r>
    </w:p>
    <w:p w14:paraId="0FE5868B">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（2）包裹管理须做到统一入库、扫码出库、分类规范、全程可追溯；  </w:t>
      </w:r>
    </w:p>
    <w:p w14:paraId="68311C34">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（3）须负责驿站内环境卫生及现场秩序维护，杜绝乱堆乱放；  </w:t>
      </w:r>
    </w:p>
    <w:p w14:paraId="52612288">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（4）须建立完善的投诉处理机制，工作日问题当日解决，非工作日问题次日响应处置；  </w:t>
      </w:r>
    </w:p>
    <w:p w14:paraId="28FEC506">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（5）须对快递包裹安全负责，在包裹交付前发生延误、丢失、损毁的，由中标供应商全额承担赔偿责任；  </w:t>
      </w:r>
    </w:p>
    <w:p w14:paraId="5ED45E6C">
      <w:pPr>
        <w:pStyle w:val="8"/>
        <w:spacing w:line="460" w:lineRule="exact"/>
        <w:ind w:firstLine="480"/>
        <w:rPr>
          <w:rFonts w:hint="default"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（6）需对指定类型的快递（如标书、医疗器械、药品）进行实时配送，若由于配送不及时导致的损失由中标人全额承担赔偿责任；</w:t>
      </w:r>
    </w:p>
    <w:p w14:paraId="5D4D305C">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⑥场地与投入要求</w:t>
      </w:r>
    </w:p>
    <w:p w14:paraId="5771993A">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（1）场地 </w:t>
      </w:r>
    </w:p>
    <w:p w14:paraId="23F4B7AD">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医院无偿提供指定场地</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作为快递驿站专属经营场所，并提供基础电源和网络接入，保障驿站正常运营。中标人使用经营区域产生的水电费，由医院总务科提供实际水电用量数据，按实向中标人收取缴纳</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w:t>
      </w:r>
    </w:p>
    <w:p w14:paraId="2B5A02B4">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（2）投资建设要求  </w:t>
      </w:r>
    </w:p>
    <w:p w14:paraId="7988CA82">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中标供应商须全额投资建设快递驿站，具体构成包括但不限于：  </w:t>
      </w:r>
    </w:p>
    <w:p w14:paraId="273D619D">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房屋装修：驿站场地墙面、地面、吊顶、水电优化、功能分区改造等；  </w:t>
      </w:r>
    </w:p>
    <w:p w14:paraId="2D4EEB57">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驿站设备：安全设施（监控、灭火器、防毒面具、烟雾报警器等）及专用运营设备（货架、电子秤、寄件宝、出库仪、自助取件设备等）。</w:t>
      </w:r>
    </w:p>
    <w:p w14:paraId="4EA83506">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（3）场地管理要求  </w:t>
      </w:r>
    </w:p>
    <w:p w14:paraId="270EE87E">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（3.1）中标供应商仅可将场地用于快递代收、代投、寄件等双方约定的合作业务，不得擅自改变场地用途、不得转租或转借第三方；  </w:t>
      </w:r>
    </w:p>
    <w:p w14:paraId="1E45B30A">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（3.2）合作期间，中标供应商负责场地内的装修布置、环境卫生、安全管理及设施维护；  </w:t>
      </w:r>
    </w:p>
    <w:p w14:paraId="3FE5F572">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（3.3）合作终止后，中标供应商须及时清理场地、拆除所有相关标识及可移动设备，恢复场地基本使用状态；可移动设备由中标供应商无条件收回，装修等附着于场地的固定部分归医院所有。</w:t>
      </w:r>
    </w:p>
    <w:p w14:paraId="6EDFB660">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（4）监控及安防要求  </w:t>
      </w:r>
    </w:p>
    <w:p w14:paraId="6E988824">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（4.1）驿站须实现监控全覆盖，视频存储不少于90天；  </w:t>
      </w:r>
    </w:p>
    <w:p w14:paraId="09C863D7">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（4.2）须按消防规范配备灭火器、烟雾报警器等消防设施，并定期检查维护；  </w:t>
      </w:r>
    </w:p>
    <w:p w14:paraId="690251F3">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（4.3）驿站运营须符合消防安全、用电安全等相关规范要求。</w:t>
      </w:r>
    </w:p>
    <w:p w14:paraId="51A3766B">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（5）设备要求  </w:t>
      </w:r>
    </w:p>
    <w:p w14:paraId="08A5651E">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（5.1）须配备符合国家标准的电子秤、寄件宝、出库仪等专用运营设备；  </w:t>
      </w:r>
    </w:p>
    <w:p w14:paraId="15365A8F">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（5.2）须配备足够容量的货架、储物柜等存放设施，确保包裹有序存放、分拣高效；  </w:t>
      </w:r>
    </w:p>
    <w:p w14:paraId="7654832D">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（5.3）自助取件设备须操作简便、运行稳定，支持24小时自助服务。</w:t>
      </w:r>
    </w:p>
    <w:p w14:paraId="6F44B054">
      <w:pPr>
        <w:pStyle w:val="8"/>
        <w:spacing w:line="460" w:lineRule="exact"/>
        <w:ind w:firstLine="480"/>
        <w:rPr>
          <w:rFonts w:hint="eastAsia" w:ascii="Times New Roman" w:hAnsi="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（4）收费要求</w:t>
      </w:r>
    </w:p>
    <w:p w14:paraId="577E60CC">
      <w:pPr>
        <w:pStyle w:val="8"/>
        <w:spacing w:line="460" w:lineRule="exact"/>
        <w:ind w:firstLine="480"/>
        <w:rPr>
          <w:rFonts w:hint="eastAsia" w:ascii="Times New Roman" w:hAnsi="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（4.1）中标人可对第三方快递入站收取费，请提供合理的收费方案；</w:t>
      </w:r>
    </w:p>
    <w:p w14:paraId="71DACF90">
      <w:pPr>
        <w:pStyle w:val="8"/>
        <w:spacing w:line="460" w:lineRule="exact"/>
        <w:ind w:firstLine="480"/>
        <w:rPr>
          <w:rFonts w:hint="default" w:ascii="Times New Roman" w:hAnsi="Times New Roman"/>
          <w:color w:val="000000" w:themeColor="text1"/>
          <w:sz w:val="24"/>
          <w:szCs w:val="24"/>
          <w:highlight w:val="none"/>
          <w:lang w:val="en-US" w:eastAsia="zh-CN"/>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color w:val="000000" w:themeColor="text1"/>
          <w:sz w:val="24"/>
          <w:szCs w:val="24"/>
          <w:highlight w:val="none"/>
          <w:lang w:val="en-US" w:eastAsia="zh-CN"/>
          <w14:textFill>
            <w14:solidFill>
              <w14:schemeClr w14:val="tx1"/>
            </w14:solidFill>
          </w14:textFill>
        </w:rPr>
        <w:t>（4.2）中标人为招标人在服务站投递快递时提供折扣优惠。</w:t>
      </w:r>
    </w:p>
    <w:p w14:paraId="3827A4F1">
      <w:pPr>
        <w:pStyle w:val="2"/>
        <w:spacing w:before="120" w:beforeLines="50" w:after="120" w:afterLines="50" w:line="360" w:lineRule="auto"/>
        <w:jc w:val="center"/>
        <w:rPr>
          <w:rFonts w:ascii="宋体" w:hAnsi="宋体"/>
          <w:b w:val="0"/>
          <w:color w:val="000000" w:themeColor="text1"/>
          <w:szCs w:val="30"/>
          <w:highlight w:val="none"/>
          <w14:textFill>
            <w14:solidFill>
              <w14:schemeClr w14:val="tx1"/>
            </w14:solidFill>
          </w14:textFill>
        </w:rPr>
      </w:pPr>
      <w:r>
        <w:rPr>
          <w:rFonts w:hint="eastAsia"/>
          <w:color w:val="000000" w:themeColor="text1"/>
          <w:sz w:val="36"/>
          <w:szCs w:val="36"/>
          <w:highlight w:val="none"/>
          <w:lang w:val="en-US" w:eastAsia="zh-CN"/>
          <w14:textFill>
            <w14:solidFill>
              <w14:schemeClr w14:val="tx1"/>
            </w14:solidFill>
          </w14:textFill>
        </w:rPr>
        <w:t xml:space="preserve">第二章 </w:t>
      </w:r>
      <w:r>
        <w:rPr>
          <w:rFonts w:ascii="宋体" w:hAnsi="宋体"/>
          <w:color w:val="000000" w:themeColor="text1"/>
          <w:sz w:val="36"/>
          <w:szCs w:val="36"/>
          <w:highlight w:val="none"/>
          <w14:textFill>
            <w14:solidFill>
              <w14:schemeClr w14:val="tx1"/>
            </w14:solidFill>
          </w14:textFill>
        </w:rPr>
        <w:t>成交评定标准</w:t>
      </w:r>
    </w:p>
    <w:p w14:paraId="3406AB84">
      <w:pPr>
        <w:numPr>
          <w:ilvl w:val="0"/>
          <w:numId w:val="0"/>
        </w:numPr>
        <w:adjustRightInd w:val="0"/>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为公正、公平、科学地选择成交供应商，根据《中华人民共和国政府采购法》等有关法律法规的规定，并结合本项目的实际，制定本办法。</w:t>
      </w:r>
    </w:p>
    <w:p w14:paraId="2B165223">
      <w:pPr>
        <w:numPr>
          <w:ilvl w:val="0"/>
          <w:numId w:val="0"/>
        </w:numPr>
        <w:adjustRightInd w:val="0"/>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一、</w:t>
      </w:r>
      <w:r>
        <w:rPr>
          <w:rFonts w:hint="eastAsia" w:ascii="宋体" w:hAnsi="宋体"/>
          <w:color w:val="000000" w:themeColor="text1"/>
          <w:sz w:val="24"/>
          <w:highlight w:val="none"/>
          <w14:textFill>
            <w14:solidFill>
              <w14:schemeClr w14:val="tx1"/>
            </w14:solidFill>
          </w14:textFill>
        </w:rPr>
        <w:t>本项目</w:t>
      </w:r>
      <w:r>
        <w:rPr>
          <w:rFonts w:hint="eastAsia" w:ascii="宋体" w:hAnsi="宋体" w:cs="宋体"/>
          <w:b/>
          <w:color w:val="000000" w:themeColor="text1"/>
          <w:kern w:val="0"/>
          <w:sz w:val="24"/>
          <w:highlight w:val="none"/>
          <w:lang w:val="en-US" w:eastAsia="zh-CN"/>
          <w14:textFill>
            <w14:solidFill>
              <w14:schemeClr w14:val="tx1"/>
            </w14:solidFill>
          </w14:textFill>
        </w:rPr>
        <w:t>采用综合评分法</w:t>
      </w:r>
      <w:r>
        <w:rPr>
          <w:rFonts w:hint="eastAsia" w:ascii="宋体" w:hAnsi="宋体"/>
          <w:color w:val="000000" w:themeColor="text1"/>
          <w:sz w:val="24"/>
          <w:highlight w:val="none"/>
          <w14:textFill>
            <w14:solidFill>
              <w14:schemeClr w14:val="tx1"/>
            </w14:solidFill>
          </w14:textFill>
        </w:rPr>
        <w:t>。</w:t>
      </w:r>
    </w:p>
    <w:p w14:paraId="61DC8730">
      <w:pPr>
        <w:snapToGrid w:val="0"/>
        <w:spacing w:line="380" w:lineRule="exact"/>
        <w:ind w:firstLine="472" w:firstLineChars="196"/>
        <w:jc w:val="left"/>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二、谈判</w:t>
      </w:r>
      <w:r>
        <w:rPr>
          <w:rFonts w:hint="eastAsia" w:ascii="宋体" w:hAnsi="宋体"/>
          <w:b/>
          <w:color w:val="000000" w:themeColor="text1"/>
          <w:sz w:val="24"/>
          <w:highlight w:val="none"/>
          <w14:textFill>
            <w14:solidFill>
              <w14:schemeClr w14:val="tx1"/>
            </w14:solidFill>
          </w14:textFill>
        </w:rPr>
        <w:t>文件的组成</w:t>
      </w:r>
    </w:p>
    <w:p w14:paraId="432034F1">
      <w:pPr>
        <w:snapToGrid w:val="0"/>
        <w:spacing w:line="40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由技术文件组成。</w:t>
      </w:r>
    </w:p>
    <w:p w14:paraId="381B8D05">
      <w:pPr>
        <w:pStyle w:val="8"/>
        <w:spacing w:line="460" w:lineRule="exact"/>
        <w:ind w:firstLine="482" w:firstLineChars="200"/>
        <w:rPr>
          <w:rFonts w:ascii="Times New Roman" w:hAnsi="Times New Roman"/>
          <w:b/>
          <w:bCs/>
          <w:sz w:val="24"/>
          <w:szCs w:val="24"/>
          <w:highlight w:val="none"/>
        </w:rPr>
      </w:pPr>
      <w:r>
        <w:rPr>
          <w:rFonts w:ascii="Times New Roman" w:hAnsi="Times New Roman"/>
          <w:b/>
          <w:bCs/>
          <w:sz w:val="24"/>
          <w:szCs w:val="24"/>
          <w:highlight w:val="none"/>
        </w:rPr>
        <w:t>1技术标:</w:t>
      </w:r>
    </w:p>
    <w:p w14:paraId="101CAB11">
      <w:pPr>
        <w:pStyle w:val="8"/>
        <w:spacing w:line="460" w:lineRule="exact"/>
        <w:ind w:firstLine="482" w:firstLineChars="200"/>
        <w:rPr>
          <w:rFonts w:ascii="Times New Roman" w:hAnsi="Times New Roman"/>
          <w:b/>
          <w:bCs/>
          <w:sz w:val="24"/>
          <w:szCs w:val="24"/>
          <w:highlight w:val="none"/>
        </w:rPr>
      </w:pPr>
      <w:r>
        <w:rPr>
          <w:rFonts w:ascii="Times New Roman" w:hAnsi="Times New Roman"/>
          <w:b/>
          <w:bCs/>
          <w:sz w:val="24"/>
          <w:szCs w:val="24"/>
          <w:highlight w:val="none"/>
        </w:rPr>
        <w:t>应包括下列内容（并不仅限于以下）并应按顺序装订成册</w:t>
      </w:r>
      <w:r>
        <w:rPr>
          <w:rFonts w:hint="eastAsia" w:ascii="Times New Roman" w:hAnsi="Times New Roman"/>
          <w:b/>
          <w:bCs/>
          <w:sz w:val="24"/>
          <w:szCs w:val="24"/>
          <w:highlight w:val="none"/>
          <w:lang w:eastAsia="zh-CN"/>
        </w:rPr>
        <w:t>，</w:t>
      </w:r>
      <w:r>
        <w:rPr>
          <w:rFonts w:hint="eastAsia" w:ascii="Times New Roman" w:hAnsi="Times New Roman"/>
          <w:b/>
          <w:bCs/>
          <w:sz w:val="24"/>
          <w:szCs w:val="24"/>
          <w:highlight w:val="none"/>
          <w:lang w:val="en-US" w:eastAsia="zh-CN"/>
        </w:rPr>
        <w:t>技术标文件要有目录，并注明页码</w:t>
      </w:r>
      <w:r>
        <w:rPr>
          <w:rFonts w:ascii="Times New Roman" w:hAnsi="Times New Roman"/>
          <w:b/>
          <w:bCs/>
          <w:sz w:val="24"/>
          <w:szCs w:val="24"/>
          <w:highlight w:val="none"/>
        </w:rPr>
        <w:t>：(复印件需加盖单位公章，提供的所有证书应在有效期内)</w:t>
      </w:r>
    </w:p>
    <w:tbl>
      <w:tblPr>
        <w:tblStyle w:val="13"/>
        <w:tblW w:w="90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3017"/>
        <w:gridCol w:w="3765"/>
        <w:gridCol w:w="705"/>
        <w:gridCol w:w="930"/>
      </w:tblGrid>
      <w:tr w14:paraId="0C00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43" w:type="dxa"/>
            <w:gridSpan w:val="4"/>
            <w:tcBorders>
              <w:top w:val="nil"/>
              <w:left w:val="nil"/>
              <w:bottom w:val="nil"/>
              <w:right w:val="nil"/>
            </w:tcBorders>
            <w:shd w:val="clear" w:color="auto" w:fill="auto"/>
            <w:noWrap/>
            <w:vAlign w:val="center"/>
          </w:tcPr>
          <w:p w14:paraId="243295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技术标文件目录</w:t>
            </w:r>
          </w:p>
        </w:tc>
        <w:tc>
          <w:tcPr>
            <w:tcW w:w="930" w:type="dxa"/>
            <w:tcBorders>
              <w:top w:val="nil"/>
              <w:left w:val="nil"/>
              <w:bottom w:val="nil"/>
              <w:right w:val="nil"/>
            </w:tcBorders>
            <w:shd w:val="clear" w:color="auto" w:fill="auto"/>
            <w:noWrap/>
            <w:vAlign w:val="center"/>
          </w:tcPr>
          <w:p w14:paraId="3F55323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1BC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2189">
            <w:pPr>
              <w:keepNext w:val="0"/>
              <w:keepLines w:val="0"/>
              <w:widowControl/>
              <w:suppressLineNumbers w:val="0"/>
              <w:jc w:val="center"/>
              <w:textAlignment w:val="center"/>
              <w:rPr>
                <w:rFonts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序号</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D6EE">
            <w:pPr>
              <w:keepNext w:val="0"/>
              <w:keepLines w:val="0"/>
              <w:widowControl/>
              <w:suppressLineNumbers w:val="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需提供资料</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B1A1">
            <w:pPr>
              <w:jc w:val="center"/>
              <w:rPr>
                <w:rFonts w:hint="eastAsia" w:ascii="黑体" w:hAnsi="宋体" w:eastAsia="黑体" w:cs="黑体"/>
                <w:i w:val="0"/>
                <w:iCs w:val="0"/>
                <w:color w:val="000000"/>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014C">
            <w:pPr>
              <w:keepNext w:val="0"/>
              <w:keepLines w:val="0"/>
              <w:widowControl/>
              <w:suppressLineNumbers w:val="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页码</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0D60">
            <w:pPr>
              <w:keepNext w:val="0"/>
              <w:keepLines w:val="0"/>
              <w:widowControl/>
              <w:suppressLineNumbers w:val="0"/>
              <w:jc w:val="center"/>
              <w:textAlignment w:val="center"/>
              <w:rPr>
                <w:rFonts w:hint="default"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备注</w:t>
            </w:r>
          </w:p>
        </w:tc>
      </w:tr>
      <w:tr w14:paraId="6C55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89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69A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0"/>
                <w:highlight w:val="none"/>
                <w:lang w:val="en-US" w:eastAsia="zh-CN" w:bidi="ar"/>
              </w:rPr>
              <w:t>投标单位情况介绍</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1C54">
            <w:pPr>
              <w:jc w:val="left"/>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FA86">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E23F">
            <w:pPr>
              <w:jc w:val="center"/>
              <w:rPr>
                <w:rFonts w:hint="eastAsia" w:ascii="宋体" w:hAnsi="宋体" w:eastAsia="宋体" w:cs="宋体"/>
                <w:i w:val="0"/>
                <w:iCs w:val="0"/>
                <w:color w:val="000000"/>
                <w:sz w:val="21"/>
                <w:szCs w:val="21"/>
                <w:highlight w:val="none"/>
                <w:u w:val="none"/>
              </w:rPr>
            </w:pPr>
          </w:p>
        </w:tc>
      </w:tr>
      <w:tr w14:paraId="4D0A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03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9D8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0"/>
                <w:highlight w:val="none"/>
                <w:lang w:val="en-US" w:eastAsia="zh-CN" w:bidi="ar"/>
              </w:rPr>
              <w:t>有效的营业执照副本复印件</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5392">
            <w:pPr>
              <w:jc w:val="left"/>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6CD0913">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4EAA8F5B">
            <w:pPr>
              <w:jc w:val="center"/>
              <w:rPr>
                <w:rFonts w:hint="eastAsia" w:ascii="宋体" w:hAnsi="宋体" w:eastAsia="宋体" w:cs="宋体"/>
                <w:i w:val="0"/>
                <w:iCs w:val="0"/>
                <w:color w:val="000000"/>
                <w:sz w:val="21"/>
                <w:szCs w:val="21"/>
                <w:highlight w:val="none"/>
                <w:u w:val="none"/>
              </w:rPr>
            </w:pPr>
          </w:p>
        </w:tc>
      </w:tr>
      <w:tr w14:paraId="7351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89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10F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0"/>
                <w:highlight w:val="none"/>
                <w:lang w:val="en-US" w:eastAsia="zh-CN" w:bidi="ar"/>
              </w:rPr>
              <w:t>法定代表人身份证复印件</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688A">
            <w:pPr>
              <w:jc w:val="left"/>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D75F784">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33B56E74">
            <w:pPr>
              <w:jc w:val="center"/>
              <w:rPr>
                <w:rFonts w:hint="eastAsia" w:ascii="宋体" w:hAnsi="宋体" w:eastAsia="宋体" w:cs="宋体"/>
                <w:i w:val="0"/>
                <w:iCs w:val="0"/>
                <w:color w:val="000000"/>
                <w:sz w:val="21"/>
                <w:szCs w:val="21"/>
                <w:highlight w:val="none"/>
                <w:u w:val="none"/>
              </w:rPr>
            </w:pPr>
          </w:p>
        </w:tc>
      </w:tr>
      <w:tr w14:paraId="27119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01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E67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0"/>
                <w:highlight w:val="none"/>
                <w:lang w:val="en-US" w:eastAsia="zh-CN" w:bidi="ar"/>
              </w:rPr>
              <w:t>授权委托书、授权代表身份证复印件</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A69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0"/>
                <w:highlight w:val="none"/>
                <w:lang w:val="en-US" w:eastAsia="zh-CN" w:bidi="ar"/>
              </w:rPr>
              <w:t>如法定代表人出席投标会的不须提供。</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225C">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EDB6">
            <w:pPr>
              <w:jc w:val="center"/>
              <w:rPr>
                <w:rFonts w:hint="eastAsia" w:ascii="宋体" w:hAnsi="宋体" w:eastAsia="宋体" w:cs="宋体"/>
                <w:i w:val="0"/>
                <w:iCs w:val="0"/>
                <w:color w:val="000000"/>
                <w:sz w:val="21"/>
                <w:szCs w:val="21"/>
                <w:highlight w:val="none"/>
                <w:u w:val="none"/>
              </w:rPr>
            </w:pPr>
          </w:p>
        </w:tc>
      </w:tr>
      <w:tr w14:paraId="08B02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2C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5CB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0"/>
                <w:highlight w:val="none"/>
                <w:lang w:val="en-US" w:eastAsia="zh-CN" w:bidi="ar"/>
              </w:rPr>
              <w:t>相关业绩</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151C">
            <w:pPr>
              <w:adjustRightInd w:val="0"/>
              <w:snapToGrid w:val="0"/>
              <w:jc w:val="left"/>
              <w:rPr>
                <w:rFonts w:ascii="宋体" w:hAnsi="宋体" w:eastAsia="宋体" w:cs="宋体"/>
                <w:kern w:val="0"/>
                <w:sz w:val="21"/>
                <w:szCs w:val="21"/>
                <w:highlight w:val="none"/>
                <w14:ligatures w14:val="none"/>
              </w:rPr>
            </w:pPr>
            <w:r>
              <w:rPr>
                <w:rFonts w:ascii="宋体" w:hAnsi="宋体" w:eastAsia="宋体" w:cs="宋体"/>
                <w:kern w:val="0"/>
                <w:sz w:val="21"/>
                <w:szCs w:val="21"/>
                <w:highlight w:val="none"/>
                <w14:ligatures w14:val="none"/>
              </w:rPr>
              <w:t>202</w:t>
            </w:r>
            <w:r>
              <w:rPr>
                <w:rFonts w:hint="eastAsia" w:ascii="宋体" w:hAnsi="宋体" w:cs="宋体"/>
                <w:kern w:val="0"/>
                <w:sz w:val="21"/>
                <w:szCs w:val="21"/>
                <w:highlight w:val="none"/>
                <w:lang w:val="en-US" w:eastAsia="zh-CN"/>
                <w14:ligatures w14:val="none"/>
              </w:rPr>
              <w:t>3</w:t>
            </w:r>
            <w:r>
              <w:rPr>
                <w:rFonts w:hint="eastAsia" w:ascii="宋体" w:hAnsi="宋体" w:eastAsia="宋体" w:cs="宋体"/>
                <w:kern w:val="0"/>
                <w:sz w:val="21"/>
                <w:szCs w:val="21"/>
                <w:highlight w:val="none"/>
                <w14:ligatures w14:val="none"/>
              </w:rPr>
              <w:t>年</w:t>
            </w:r>
            <w:r>
              <w:rPr>
                <w:rFonts w:ascii="宋体" w:hAnsi="宋体" w:eastAsia="宋体" w:cs="宋体"/>
                <w:kern w:val="0"/>
                <w:sz w:val="21"/>
                <w:szCs w:val="21"/>
                <w:highlight w:val="none"/>
                <w14:ligatures w14:val="none"/>
              </w:rPr>
              <w:t>1</w:t>
            </w:r>
            <w:r>
              <w:rPr>
                <w:rFonts w:hint="eastAsia" w:ascii="宋体" w:hAnsi="宋体" w:eastAsia="宋体" w:cs="宋体"/>
                <w:kern w:val="0"/>
                <w:sz w:val="21"/>
                <w:szCs w:val="21"/>
                <w:highlight w:val="none"/>
                <w14:ligatures w14:val="none"/>
              </w:rPr>
              <w:t>月</w:t>
            </w:r>
            <w:r>
              <w:rPr>
                <w:rFonts w:ascii="宋体" w:hAnsi="宋体" w:eastAsia="宋体" w:cs="宋体"/>
                <w:kern w:val="0"/>
                <w:sz w:val="21"/>
                <w:szCs w:val="21"/>
                <w:highlight w:val="none"/>
                <w14:ligatures w14:val="none"/>
              </w:rPr>
              <w:t>1</w:t>
            </w:r>
            <w:r>
              <w:rPr>
                <w:rFonts w:hint="eastAsia" w:ascii="宋体" w:hAnsi="宋体" w:eastAsia="宋体" w:cs="宋体"/>
                <w:kern w:val="0"/>
                <w:sz w:val="21"/>
                <w:szCs w:val="21"/>
                <w:highlight w:val="none"/>
                <w14:ligatures w14:val="none"/>
              </w:rPr>
              <w:t>日至提交投标文件截止日前，投标人承担的同类项目（</w:t>
            </w:r>
            <w:r>
              <w:rPr>
                <w:rFonts w:hint="eastAsia"/>
              </w:rPr>
              <w:t>医疗机构或类似大型公共场所快递服务项目</w:t>
            </w:r>
            <w:r>
              <w:rPr>
                <w:rFonts w:hint="eastAsia" w:ascii="宋体" w:hAnsi="宋体" w:eastAsia="宋体" w:cs="宋体"/>
                <w:kern w:val="0"/>
                <w:sz w:val="21"/>
                <w:szCs w:val="21"/>
                <w:highlight w:val="none"/>
                <w14:ligatures w14:val="none"/>
              </w:rPr>
              <w:t>）。</w:t>
            </w:r>
          </w:p>
          <w:p w14:paraId="0867F87D">
            <w:pPr>
              <w:jc w:val="left"/>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kern w:val="0"/>
                <w:sz w:val="21"/>
                <w:szCs w:val="21"/>
                <w:highlight w:val="none"/>
                <w14:ligatures w14:val="none"/>
              </w:rPr>
              <w:t>证明材料：合同复印件。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D946C3D">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33B7CF20">
            <w:pPr>
              <w:jc w:val="center"/>
              <w:rPr>
                <w:rFonts w:hint="eastAsia" w:ascii="宋体" w:hAnsi="宋体" w:eastAsia="宋体" w:cs="宋体"/>
                <w:i w:val="0"/>
                <w:iCs w:val="0"/>
                <w:color w:val="000000"/>
                <w:sz w:val="21"/>
                <w:szCs w:val="21"/>
                <w:highlight w:val="none"/>
                <w:u w:val="none"/>
              </w:rPr>
            </w:pPr>
          </w:p>
        </w:tc>
      </w:tr>
      <w:tr w14:paraId="0E55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00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41A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0"/>
                <w:highlight w:val="none"/>
                <w:lang w:val="en-US" w:eastAsia="zh-CN" w:bidi="ar"/>
              </w:rPr>
              <w:t>投入本项目运作的人员一览表</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C9B8">
            <w:pPr>
              <w:jc w:val="left"/>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EECE3B8">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31A49ECB">
            <w:pPr>
              <w:jc w:val="center"/>
              <w:rPr>
                <w:rFonts w:hint="eastAsia" w:ascii="宋体" w:hAnsi="宋体" w:eastAsia="宋体" w:cs="宋体"/>
                <w:i w:val="0"/>
                <w:iCs w:val="0"/>
                <w:color w:val="000000"/>
                <w:sz w:val="21"/>
                <w:szCs w:val="21"/>
                <w:highlight w:val="none"/>
                <w:u w:val="none"/>
              </w:rPr>
            </w:pPr>
          </w:p>
        </w:tc>
      </w:tr>
      <w:tr w14:paraId="3860A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C6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7BB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Style w:val="20"/>
                <w:highlight w:val="none"/>
                <w:lang w:val="en-US" w:eastAsia="zh-CN" w:bidi="ar"/>
              </w:rPr>
              <w:t>投入本项目</w:t>
            </w:r>
            <w:r>
              <w:rPr>
                <w:rStyle w:val="20"/>
                <w:rFonts w:hint="eastAsia"/>
                <w:highlight w:val="none"/>
                <w:lang w:val="en-US" w:eastAsia="zh-CN" w:bidi="ar"/>
              </w:rPr>
              <w:t>的设备</w:t>
            </w:r>
            <w:r>
              <w:rPr>
                <w:rStyle w:val="20"/>
                <w:highlight w:val="none"/>
                <w:lang w:val="en-US" w:eastAsia="zh-CN" w:bidi="ar"/>
              </w:rPr>
              <w:t>一览表</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65F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8D055AF">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42BC7064">
            <w:pPr>
              <w:jc w:val="center"/>
              <w:rPr>
                <w:rFonts w:hint="eastAsia" w:ascii="宋体" w:hAnsi="宋体" w:eastAsia="宋体" w:cs="宋体"/>
                <w:i w:val="0"/>
                <w:iCs w:val="0"/>
                <w:color w:val="000000"/>
                <w:sz w:val="21"/>
                <w:szCs w:val="21"/>
                <w:highlight w:val="none"/>
                <w:u w:val="none"/>
              </w:rPr>
            </w:pPr>
          </w:p>
        </w:tc>
      </w:tr>
      <w:tr w14:paraId="7008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40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6FF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Style w:val="20"/>
                <w:color w:val="000000" w:themeColor="text1"/>
                <w:highlight w:val="none"/>
                <w:lang w:val="en-US" w:eastAsia="zh-CN" w:bidi="ar"/>
                <w14:textFill>
                  <w14:solidFill>
                    <w14:schemeClr w14:val="tx1"/>
                  </w14:solidFill>
                </w14:textFill>
              </w:rPr>
              <w:t>项目运作的详细方案</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9EB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3752EFC">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004E241B">
            <w:pPr>
              <w:jc w:val="center"/>
              <w:rPr>
                <w:rFonts w:hint="eastAsia" w:ascii="宋体" w:hAnsi="宋体" w:eastAsia="宋体" w:cs="宋体"/>
                <w:i w:val="0"/>
                <w:iCs w:val="0"/>
                <w:color w:val="000000"/>
                <w:sz w:val="21"/>
                <w:szCs w:val="21"/>
                <w:highlight w:val="none"/>
                <w:u w:val="none"/>
              </w:rPr>
            </w:pPr>
          </w:p>
        </w:tc>
      </w:tr>
      <w:tr w14:paraId="538E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2C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9</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B9E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0"/>
                <w:highlight w:val="none"/>
                <w:lang w:val="en-US" w:eastAsia="zh-CN" w:bidi="ar"/>
              </w:rPr>
              <w:t>招标文件服务要求中规定需要投标人作出说明或描述的。</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1190814">
            <w:pPr>
              <w:jc w:val="both"/>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1E845EC">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152C98BB">
            <w:pPr>
              <w:jc w:val="center"/>
              <w:rPr>
                <w:rFonts w:hint="eastAsia" w:ascii="宋体" w:hAnsi="宋体" w:eastAsia="宋体" w:cs="宋体"/>
                <w:i w:val="0"/>
                <w:iCs w:val="0"/>
                <w:color w:val="000000"/>
                <w:sz w:val="21"/>
                <w:szCs w:val="21"/>
                <w:highlight w:val="none"/>
                <w:u w:val="none"/>
              </w:rPr>
            </w:pPr>
          </w:p>
        </w:tc>
      </w:tr>
      <w:tr w14:paraId="038D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CE81">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10</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196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0"/>
                <w:highlight w:val="none"/>
                <w:lang w:val="en-US" w:eastAsia="zh-CN" w:bidi="ar"/>
              </w:rPr>
              <w:t>投标人认为须提供的其他资料。</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top"/>
          </w:tcPr>
          <w:p w14:paraId="50C17088">
            <w:pPr>
              <w:jc w:val="both"/>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9447">
            <w:pP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9B41">
            <w:pPr>
              <w:rPr>
                <w:rFonts w:hint="eastAsia" w:ascii="宋体" w:hAnsi="宋体" w:eastAsia="宋体" w:cs="宋体"/>
                <w:i w:val="0"/>
                <w:iCs w:val="0"/>
                <w:color w:val="000000"/>
                <w:sz w:val="22"/>
                <w:szCs w:val="22"/>
                <w:highlight w:val="none"/>
                <w:u w:val="none"/>
              </w:rPr>
            </w:pPr>
          </w:p>
        </w:tc>
      </w:tr>
    </w:tbl>
    <w:p w14:paraId="2D4E3546">
      <w:pPr>
        <w:rPr>
          <w:highlight w:val="none"/>
        </w:rPr>
      </w:pPr>
    </w:p>
    <w:p w14:paraId="21D92397">
      <w:pPr>
        <w:pStyle w:val="2"/>
        <w:spacing w:before="120" w:beforeLines="50" w:after="120" w:afterLines="50" w:line="360" w:lineRule="auto"/>
        <w:ind w:firstLine="2168" w:firstLineChars="600"/>
        <w:jc w:val="both"/>
        <w:rPr>
          <w:rFonts w:hint="eastAsia"/>
          <w:color w:val="000000" w:themeColor="text1"/>
          <w:sz w:val="36"/>
          <w:szCs w:val="36"/>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3BBB41A9">
      <w:pPr>
        <w:spacing w:before="275" w:line="224" w:lineRule="auto"/>
        <w:ind w:left="3481"/>
        <w:jc w:val="left"/>
        <w:rPr>
          <w:rFonts w:hint="eastAsia" w:ascii="宋体" w:hAnsi="宋体" w:eastAsia="宋体" w:cs="宋体"/>
          <w:b/>
          <w:color w:val="000000" w:themeColor="text1"/>
          <w:kern w:val="44"/>
          <w:sz w:val="36"/>
          <w:szCs w:val="36"/>
          <w:highlight w:val="none"/>
          <w:lang w:val="en-US" w:eastAsia="zh-CN" w:bidi="ar"/>
          <w14:textFill>
            <w14:solidFill>
              <w14:schemeClr w14:val="tx1"/>
            </w14:solidFill>
          </w14:textFill>
        </w:rPr>
      </w:pPr>
      <w:r>
        <w:rPr>
          <w:rFonts w:hint="eastAsia" w:ascii="宋体" w:hAnsi="宋体" w:eastAsia="宋体" w:cs="宋体"/>
          <w:b/>
          <w:color w:val="000000" w:themeColor="text1"/>
          <w:kern w:val="44"/>
          <w:sz w:val="36"/>
          <w:szCs w:val="36"/>
          <w:highlight w:val="none"/>
          <w:lang w:val="en-US" w:eastAsia="zh-CN" w:bidi="ar"/>
          <w14:textFill>
            <w14:solidFill>
              <w14:schemeClr w14:val="tx1"/>
            </w14:solidFill>
          </w14:textFill>
        </w:rPr>
        <w:t>第三章   评标办法</w:t>
      </w:r>
    </w:p>
    <w:p w14:paraId="76B65FAE">
      <w:pPr>
        <w:spacing w:before="185" w:line="380" w:lineRule="auto"/>
        <w:ind w:left="143" w:right="368" w:firstLine="506"/>
        <w:rPr>
          <w:rFonts w:hint="eastAsia" w:cs="Times New Roman"/>
          <w:sz w:val="24"/>
          <w:highlight w:val="none"/>
        </w:rPr>
      </w:pPr>
    </w:p>
    <w:p w14:paraId="5816367E">
      <w:pPr>
        <w:spacing w:before="185" w:line="380" w:lineRule="auto"/>
        <w:ind w:left="143" w:right="368" w:firstLine="506"/>
        <w:rPr>
          <w:rFonts w:hint="eastAsia" w:cs="Times New Roman"/>
          <w:sz w:val="24"/>
          <w:highlight w:val="none"/>
        </w:rPr>
      </w:pPr>
      <w:r>
        <w:rPr>
          <w:rFonts w:hint="eastAsia" w:cs="Times New Roman"/>
          <w:sz w:val="24"/>
          <w:highlight w:val="none"/>
        </w:rPr>
        <w:t>本项目总分为</w:t>
      </w:r>
      <w:r>
        <w:rPr>
          <w:rFonts w:hint="eastAsia" w:cs="Times New Roman"/>
          <w:sz w:val="24"/>
          <w:highlight w:val="none"/>
          <w:lang w:val="en-US" w:eastAsia="zh-CN"/>
        </w:rPr>
        <w:t>100</w:t>
      </w:r>
      <w:r>
        <w:rPr>
          <w:rFonts w:hint="eastAsia" w:cs="Times New Roman"/>
          <w:sz w:val="24"/>
          <w:highlight w:val="none"/>
        </w:rPr>
        <w:t>分。其中技术分</w:t>
      </w:r>
      <w:r>
        <w:rPr>
          <w:rFonts w:hint="eastAsia" w:cs="Times New Roman"/>
          <w:sz w:val="24"/>
          <w:highlight w:val="none"/>
          <w:lang w:val="en-US" w:eastAsia="zh-CN"/>
        </w:rPr>
        <w:t>90</w:t>
      </w:r>
      <w:r>
        <w:rPr>
          <w:rFonts w:hint="eastAsia" w:cs="Times New Roman"/>
          <w:sz w:val="24"/>
          <w:highlight w:val="none"/>
        </w:rPr>
        <w:t>分、商务报价</w:t>
      </w:r>
      <w:r>
        <w:rPr>
          <w:rFonts w:hint="eastAsia" w:cs="Times New Roman"/>
          <w:sz w:val="24"/>
          <w:highlight w:val="none"/>
          <w:lang w:val="en-US" w:eastAsia="zh-CN"/>
        </w:rPr>
        <w:t>10</w:t>
      </w:r>
      <w:r>
        <w:rPr>
          <w:rFonts w:hint="eastAsia" w:cs="Times New Roman"/>
          <w:sz w:val="24"/>
          <w:highlight w:val="none"/>
        </w:rPr>
        <w:t>分。</w:t>
      </w:r>
    </w:p>
    <w:p w14:paraId="7A25A9F0">
      <w:pPr>
        <w:spacing w:before="56" w:line="389" w:lineRule="exact"/>
        <w:ind w:left="144"/>
        <w:outlineLvl w:val="6"/>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1、技术评审 (总分 </w:t>
      </w:r>
      <w:r>
        <w:rPr>
          <w:rFonts w:hint="eastAsia" w:ascii="宋体" w:hAnsi="宋体"/>
          <w:b/>
          <w:color w:val="000000" w:themeColor="text1"/>
          <w:sz w:val="24"/>
          <w:highlight w:val="none"/>
          <w:lang w:val="en-US" w:eastAsia="zh-CN"/>
          <w14:textFill>
            <w14:solidFill>
              <w14:schemeClr w14:val="tx1"/>
            </w14:solidFill>
          </w14:textFill>
        </w:rPr>
        <w:t>100</w:t>
      </w:r>
      <w:r>
        <w:rPr>
          <w:rFonts w:hint="eastAsia" w:ascii="宋体" w:hAnsi="宋体"/>
          <w:b/>
          <w:color w:val="000000" w:themeColor="text1"/>
          <w:sz w:val="24"/>
          <w:highlight w:val="none"/>
          <w14:textFill>
            <w14:solidFill>
              <w14:schemeClr w14:val="tx1"/>
            </w14:solidFill>
          </w14:textFill>
        </w:rPr>
        <w:t>分)</w:t>
      </w:r>
    </w:p>
    <w:p w14:paraId="610123FA">
      <w:pPr>
        <w:spacing w:before="185" w:line="380" w:lineRule="auto"/>
        <w:ind w:left="143" w:right="368" w:firstLine="506"/>
        <w:rPr>
          <w:rFonts w:ascii="宋体" w:hAnsi="宋体" w:eastAsia="宋体" w:cs="宋体"/>
          <w:sz w:val="23"/>
          <w:szCs w:val="23"/>
          <w:highlight w:val="none"/>
        </w:rPr>
      </w:pPr>
      <w:r>
        <w:rPr>
          <w:sz w:val="24"/>
          <w:highlight w:val="none"/>
        </w:rPr>
        <w:t>评标</w:t>
      </w:r>
      <w:r>
        <w:rPr>
          <w:rFonts w:hint="eastAsia"/>
          <w:sz w:val="24"/>
          <w:highlight w:val="none"/>
          <w:lang w:val="en-US" w:eastAsia="zh-CN"/>
        </w:rPr>
        <w:t>小组</w:t>
      </w:r>
      <w:r>
        <w:rPr>
          <w:sz w:val="24"/>
          <w:highlight w:val="none"/>
        </w:rPr>
        <w:t>根据评分细则，对各投标人的技术部分进行书面审核和评论后，由各专家独立酌情给分，打分时保留小数1位，每人一份评分表，并签名。在统计得分时，如果发现某一单项评分超过评分标准规定的分值范围，则该张评分表无效。投标人最终得分为评标</w:t>
      </w:r>
      <w:r>
        <w:rPr>
          <w:rFonts w:hint="eastAsia"/>
          <w:sz w:val="24"/>
          <w:highlight w:val="none"/>
          <w:lang w:val="en-US" w:eastAsia="zh-CN"/>
        </w:rPr>
        <w:t>小组</w:t>
      </w:r>
      <w:r>
        <w:rPr>
          <w:sz w:val="24"/>
          <w:highlight w:val="none"/>
        </w:rPr>
        <w:t>所有成员的有效评分的算术平均值，计算时保留小数2位。</w:t>
      </w:r>
    </w:p>
    <w:p w14:paraId="73D9E3C8">
      <w:pPr>
        <w:spacing w:line="251" w:lineRule="auto"/>
        <w:rPr>
          <w:rFonts w:ascii="Arial"/>
          <w:sz w:val="21"/>
          <w:highlight w:val="none"/>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438"/>
        <w:gridCol w:w="1207"/>
        <w:gridCol w:w="6015"/>
        <w:gridCol w:w="787"/>
      </w:tblGrid>
      <w:tr w14:paraId="119A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335" w:type="pct"/>
            <w:shd w:val="clear" w:color="auto" w:fill="auto"/>
            <w:vAlign w:val="center"/>
          </w:tcPr>
          <w:p w14:paraId="05AB2D72">
            <w:pPr>
              <w:jc w:val="center"/>
              <w:rPr>
                <w:rFonts w:hint="eastAsia"/>
                <w:sz w:val="24"/>
                <w:szCs w:val="24"/>
              </w:rPr>
            </w:pPr>
            <w:r>
              <w:rPr>
                <w:rFonts w:hint="eastAsia"/>
                <w:sz w:val="24"/>
                <w:szCs w:val="24"/>
              </w:rPr>
              <w:t>序号</w:t>
            </w:r>
          </w:p>
        </w:tc>
        <w:tc>
          <w:tcPr>
            <w:tcW w:w="710" w:type="pct"/>
            <w:shd w:val="clear" w:color="auto" w:fill="auto"/>
            <w:vAlign w:val="center"/>
          </w:tcPr>
          <w:p w14:paraId="12FB2A23">
            <w:pPr>
              <w:jc w:val="center"/>
              <w:rPr>
                <w:rFonts w:hint="eastAsia"/>
                <w:sz w:val="24"/>
                <w:szCs w:val="24"/>
              </w:rPr>
            </w:pPr>
            <w:r>
              <w:rPr>
                <w:rFonts w:hint="eastAsia"/>
                <w:sz w:val="24"/>
                <w:szCs w:val="24"/>
              </w:rPr>
              <w:t>评分项</w:t>
            </w:r>
          </w:p>
        </w:tc>
        <w:tc>
          <w:tcPr>
            <w:tcW w:w="596" w:type="pct"/>
            <w:shd w:val="clear" w:color="auto" w:fill="auto"/>
            <w:vAlign w:val="center"/>
          </w:tcPr>
          <w:p w14:paraId="488C2B46">
            <w:pPr>
              <w:jc w:val="center"/>
              <w:rPr>
                <w:rFonts w:hint="eastAsia"/>
                <w:sz w:val="24"/>
                <w:szCs w:val="24"/>
                <w:lang w:eastAsia="zh-CN"/>
              </w:rPr>
            </w:pPr>
            <w:r>
              <w:rPr>
                <w:rFonts w:hint="eastAsia"/>
                <w:sz w:val="24"/>
                <w:szCs w:val="24"/>
                <w:lang w:val="en-US" w:eastAsia="zh-CN"/>
              </w:rPr>
              <w:t>类型</w:t>
            </w:r>
          </w:p>
        </w:tc>
        <w:tc>
          <w:tcPr>
            <w:tcW w:w="2969" w:type="pct"/>
            <w:shd w:val="clear" w:color="auto" w:fill="auto"/>
            <w:vAlign w:val="center"/>
          </w:tcPr>
          <w:p w14:paraId="4464FCDD">
            <w:pPr>
              <w:jc w:val="center"/>
              <w:rPr>
                <w:rFonts w:hint="eastAsia"/>
                <w:sz w:val="24"/>
                <w:szCs w:val="24"/>
              </w:rPr>
            </w:pPr>
            <w:r>
              <w:rPr>
                <w:rFonts w:hint="eastAsia"/>
                <w:sz w:val="24"/>
                <w:szCs w:val="24"/>
              </w:rPr>
              <w:t>评审因素</w:t>
            </w:r>
          </w:p>
        </w:tc>
        <w:tc>
          <w:tcPr>
            <w:tcW w:w="388" w:type="pct"/>
            <w:shd w:val="clear" w:color="auto" w:fill="auto"/>
            <w:vAlign w:val="center"/>
          </w:tcPr>
          <w:p w14:paraId="71457B5B">
            <w:pPr>
              <w:jc w:val="center"/>
              <w:rPr>
                <w:rFonts w:hint="eastAsia"/>
                <w:sz w:val="24"/>
                <w:szCs w:val="24"/>
              </w:rPr>
            </w:pPr>
            <w:r>
              <w:rPr>
                <w:rFonts w:hint="eastAsia"/>
                <w:sz w:val="24"/>
                <w:szCs w:val="24"/>
              </w:rPr>
              <w:t>分值</w:t>
            </w:r>
          </w:p>
        </w:tc>
      </w:tr>
      <w:tr w14:paraId="5095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vMerge w:val="restart"/>
            <w:shd w:val="clear" w:color="auto" w:fill="auto"/>
            <w:vAlign w:val="center"/>
          </w:tcPr>
          <w:p w14:paraId="70CF04A3">
            <w:pPr>
              <w:jc w:val="center"/>
              <w:rPr>
                <w:rFonts w:hint="eastAsia"/>
                <w:sz w:val="24"/>
                <w:szCs w:val="24"/>
                <w:lang w:val="en-US" w:eastAsia="zh-CN"/>
              </w:rPr>
            </w:pPr>
            <w:bookmarkStart w:id="1" w:name="_GoBack" w:colFirst="3" w:colLast="3"/>
            <w:r>
              <w:rPr>
                <w:rFonts w:hint="eastAsia"/>
                <w:sz w:val="24"/>
                <w:szCs w:val="24"/>
                <w:lang w:val="en-US" w:eastAsia="zh-CN"/>
              </w:rPr>
              <w:t>1</w:t>
            </w:r>
          </w:p>
        </w:tc>
        <w:tc>
          <w:tcPr>
            <w:tcW w:w="710" w:type="pct"/>
            <w:vMerge w:val="restart"/>
            <w:shd w:val="clear" w:color="auto" w:fill="auto"/>
            <w:vAlign w:val="center"/>
          </w:tcPr>
          <w:p w14:paraId="7B4ABDD7">
            <w:pPr>
              <w:jc w:val="center"/>
              <w:rPr>
                <w:sz w:val="24"/>
                <w:szCs w:val="24"/>
              </w:rPr>
            </w:pPr>
            <w:r>
              <w:rPr>
                <w:rFonts w:hint="eastAsia"/>
                <w:sz w:val="24"/>
                <w:szCs w:val="24"/>
              </w:rPr>
              <w:t>价格</w:t>
            </w:r>
          </w:p>
          <w:p w14:paraId="59AF6DF1">
            <w:pPr>
              <w:jc w:val="center"/>
              <w:rPr>
                <w:rFonts w:hint="default"/>
                <w:sz w:val="24"/>
                <w:szCs w:val="24"/>
                <w:lang w:val="en-US" w:eastAsia="zh-CN"/>
              </w:rPr>
            </w:pPr>
            <w:r>
              <w:rPr>
                <w:rFonts w:hint="eastAsia"/>
                <w:sz w:val="24"/>
                <w:szCs w:val="24"/>
              </w:rPr>
              <w:t>（10分）</w:t>
            </w:r>
          </w:p>
        </w:tc>
        <w:tc>
          <w:tcPr>
            <w:tcW w:w="596" w:type="pct"/>
            <w:vMerge w:val="restart"/>
            <w:shd w:val="clear" w:color="auto" w:fill="auto"/>
            <w:vAlign w:val="center"/>
          </w:tcPr>
          <w:p w14:paraId="203F9B8E">
            <w:pPr>
              <w:jc w:val="center"/>
              <w:rPr>
                <w:rFonts w:hint="eastAsia"/>
                <w:sz w:val="24"/>
                <w:szCs w:val="24"/>
                <w:lang w:val="en-US" w:eastAsia="zh-CN"/>
              </w:rPr>
            </w:pPr>
            <w:r>
              <w:rPr>
                <w:rFonts w:hint="eastAsia"/>
                <w:sz w:val="24"/>
                <w:szCs w:val="24"/>
              </w:rPr>
              <w:t>价格</w:t>
            </w:r>
          </w:p>
        </w:tc>
        <w:tc>
          <w:tcPr>
            <w:tcW w:w="2969" w:type="pct"/>
            <w:shd w:val="clear" w:color="auto" w:fill="auto"/>
            <w:vAlign w:val="center"/>
          </w:tcPr>
          <w:p w14:paraId="0DBD42CF">
            <w:pPr>
              <w:jc w:val="center"/>
              <w:rPr>
                <w:rFonts w:hint="default"/>
                <w:sz w:val="24"/>
                <w:szCs w:val="24"/>
                <w:highlight w:val="none"/>
                <w:lang w:val="en-US" w:eastAsia="zh-CN"/>
              </w:rPr>
            </w:pPr>
            <w:r>
              <w:rPr>
                <w:rFonts w:hint="eastAsia" w:ascii="宋体" w:hAnsi="宋体" w:cs="宋体"/>
                <w:kern w:val="0"/>
                <w:sz w:val="21"/>
                <w:szCs w:val="21"/>
                <w:highlight w:val="none"/>
                <w:lang w:val="en-US" w:eastAsia="zh-CN"/>
                <w14:ligatures w14:val="none"/>
              </w:rPr>
              <w:t>服务费：</w:t>
            </w:r>
            <w:r>
              <w:rPr>
                <w:rFonts w:hint="eastAsia" w:ascii="宋体" w:hAnsi="宋体" w:eastAsia="宋体" w:cs="宋体"/>
                <w:kern w:val="0"/>
                <w:sz w:val="21"/>
                <w:szCs w:val="21"/>
                <w:highlight w:val="none"/>
                <w14:ligatures w14:val="none"/>
              </w:rPr>
              <w:t>满足招标文件要求且投标价格最低的投标报价为评标基准价，其价格分为</w:t>
            </w:r>
            <w:r>
              <w:rPr>
                <w:rFonts w:hint="eastAsia" w:ascii="宋体" w:hAnsi="宋体" w:cs="宋体"/>
                <w:kern w:val="0"/>
                <w:sz w:val="21"/>
                <w:szCs w:val="21"/>
                <w:highlight w:val="none"/>
                <w:lang w:val="en-US" w:eastAsia="zh-CN"/>
                <w14:ligatures w14:val="none"/>
              </w:rPr>
              <w:t>5</w:t>
            </w:r>
            <w:r>
              <w:rPr>
                <w:rFonts w:hint="eastAsia" w:ascii="宋体" w:hAnsi="宋体" w:eastAsia="宋体" w:cs="宋体"/>
                <w:kern w:val="0"/>
                <w:sz w:val="21"/>
                <w:szCs w:val="21"/>
                <w:highlight w:val="none"/>
                <w14:ligatures w14:val="none"/>
              </w:rPr>
              <w:t>分。其他投标人的价格分统一按照下列公式计算：投标报价得分=(评标基准价／投标报价)×</w:t>
            </w:r>
            <w:r>
              <w:rPr>
                <w:rFonts w:hint="eastAsia" w:ascii="宋体" w:hAnsi="宋体" w:cs="宋体"/>
                <w:kern w:val="0"/>
                <w:sz w:val="21"/>
                <w:szCs w:val="21"/>
                <w:highlight w:val="none"/>
                <w:lang w:val="en-US" w:eastAsia="zh-CN"/>
                <w14:ligatures w14:val="none"/>
              </w:rPr>
              <w:t>5</w:t>
            </w:r>
            <w:r>
              <w:rPr>
                <w:rFonts w:hint="eastAsia" w:ascii="宋体" w:hAnsi="宋体" w:eastAsia="宋体" w:cs="宋体"/>
                <w:kern w:val="0"/>
                <w:sz w:val="21"/>
                <w:szCs w:val="21"/>
                <w:highlight w:val="none"/>
                <w14:ligatures w14:val="none"/>
              </w:rPr>
              <w:t>%×100。</w:t>
            </w:r>
          </w:p>
        </w:tc>
        <w:tc>
          <w:tcPr>
            <w:tcW w:w="388" w:type="pct"/>
            <w:shd w:val="clear" w:color="auto" w:fill="auto"/>
            <w:vAlign w:val="center"/>
          </w:tcPr>
          <w:p w14:paraId="398CD426">
            <w:pPr>
              <w:jc w:val="center"/>
              <w:rPr>
                <w:rFonts w:hint="eastAsia" w:eastAsia="宋体"/>
                <w:sz w:val="24"/>
                <w:szCs w:val="24"/>
                <w:lang w:val="en-US" w:eastAsia="zh-CN"/>
              </w:rPr>
            </w:pPr>
            <w:r>
              <w:rPr>
                <w:rFonts w:hint="eastAsia"/>
                <w:sz w:val="24"/>
                <w:szCs w:val="24"/>
                <w:lang w:val="en-US" w:eastAsia="zh-CN"/>
              </w:rPr>
              <w:t>5</w:t>
            </w:r>
          </w:p>
        </w:tc>
      </w:tr>
      <w:tr w14:paraId="2889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vMerge w:val="continue"/>
            <w:shd w:val="clear" w:color="auto" w:fill="auto"/>
            <w:vAlign w:val="center"/>
          </w:tcPr>
          <w:p w14:paraId="6BCE01D8">
            <w:pPr>
              <w:jc w:val="center"/>
              <w:rPr>
                <w:rFonts w:hint="eastAsia"/>
                <w:sz w:val="24"/>
                <w:szCs w:val="24"/>
                <w:lang w:val="en-US" w:eastAsia="zh-CN"/>
              </w:rPr>
            </w:pPr>
          </w:p>
        </w:tc>
        <w:tc>
          <w:tcPr>
            <w:tcW w:w="710" w:type="pct"/>
            <w:vMerge w:val="continue"/>
            <w:shd w:val="clear" w:color="auto" w:fill="auto"/>
            <w:vAlign w:val="center"/>
          </w:tcPr>
          <w:p w14:paraId="25041C55">
            <w:pPr>
              <w:jc w:val="center"/>
              <w:rPr>
                <w:rFonts w:hint="eastAsia"/>
                <w:sz w:val="24"/>
                <w:szCs w:val="24"/>
              </w:rPr>
            </w:pPr>
          </w:p>
        </w:tc>
        <w:tc>
          <w:tcPr>
            <w:tcW w:w="596" w:type="pct"/>
            <w:vMerge w:val="continue"/>
            <w:shd w:val="clear" w:color="auto" w:fill="auto"/>
            <w:vAlign w:val="center"/>
          </w:tcPr>
          <w:p w14:paraId="672E7897">
            <w:pPr>
              <w:jc w:val="center"/>
              <w:rPr>
                <w:rFonts w:hint="eastAsia"/>
                <w:sz w:val="24"/>
                <w:szCs w:val="24"/>
              </w:rPr>
            </w:pPr>
          </w:p>
        </w:tc>
        <w:tc>
          <w:tcPr>
            <w:tcW w:w="2969" w:type="pct"/>
            <w:shd w:val="clear" w:color="auto" w:fill="auto"/>
            <w:vAlign w:val="center"/>
          </w:tcPr>
          <w:p w14:paraId="0DBE1BDD">
            <w:pPr>
              <w:jc w:val="center"/>
              <w:rPr>
                <w:rFonts w:hint="default"/>
                <w:sz w:val="24"/>
                <w:szCs w:val="24"/>
                <w:highlight w:val="none"/>
                <w:lang w:val="en-US" w:eastAsia="zh-CN"/>
              </w:rPr>
            </w:pPr>
            <w:r>
              <w:rPr>
                <w:rFonts w:hint="eastAsia" w:ascii="宋体" w:hAnsi="宋体" w:cs="宋体"/>
                <w:kern w:val="0"/>
                <w:sz w:val="21"/>
                <w:szCs w:val="21"/>
                <w:highlight w:val="none"/>
                <w:lang w:val="en-US" w:eastAsia="zh-CN"/>
                <w14:ligatures w14:val="none"/>
              </w:rPr>
              <w:t>快递投递折扣优惠：</w:t>
            </w:r>
            <w:r>
              <w:rPr>
                <w:rFonts w:hint="eastAsia" w:ascii="宋体" w:hAnsi="宋体" w:eastAsia="宋体" w:cs="宋体"/>
                <w:kern w:val="0"/>
                <w:sz w:val="21"/>
                <w:szCs w:val="21"/>
                <w:highlight w:val="none"/>
                <w14:ligatures w14:val="none"/>
              </w:rPr>
              <w:t>满足招标文件要求且投标价格</w:t>
            </w:r>
            <w:r>
              <w:rPr>
                <w:rFonts w:hint="eastAsia" w:ascii="宋体" w:hAnsi="宋体" w:cs="宋体"/>
                <w:kern w:val="0"/>
                <w:sz w:val="21"/>
                <w:szCs w:val="21"/>
                <w:highlight w:val="none"/>
                <w:lang w:eastAsia="zh-CN"/>
                <w14:ligatures w14:val="none"/>
              </w:rPr>
              <w:t>（</w:t>
            </w:r>
            <w:r>
              <w:rPr>
                <w:rFonts w:hint="eastAsia" w:ascii="宋体" w:hAnsi="宋体" w:cs="宋体"/>
                <w:kern w:val="0"/>
                <w:sz w:val="21"/>
                <w:szCs w:val="21"/>
                <w:highlight w:val="none"/>
                <w:lang w:val="en-US" w:eastAsia="zh-CN"/>
                <w14:ligatures w14:val="none"/>
              </w:rPr>
              <w:t>折扣</w:t>
            </w:r>
            <w:r>
              <w:rPr>
                <w:rFonts w:hint="eastAsia" w:ascii="宋体" w:hAnsi="宋体" w:cs="宋体"/>
                <w:kern w:val="0"/>
                <w:sz w:val="21"/>
                <w:szCs w:val="21"/>
                <w:highlight w:val="none"/>
                <w:lang w:eastAsia="zh-CN"/>
                <w14:ligatures w14:val="none"/>
              </w:rPr>
              <w:t>）</w:t>
            </w:r>
            <w:r>
              <w:rPr>
                <w:rFonts w:hint="eastAsia" w:ascii="宋体" w:hAnsi="宋体" w:eastAsia="宋体" w:cs="宋体"/>
                <w:kern w:val="0"/>
                <w:sz w:val="21"/>
                <w:szCs w:val="21"/>
                <w:highlight w:val="none"/>
                <w14:ligatures w14:val="none"/>
              </w:rPr>
              <w:t>最低的投标报价为评标基准价，其价格分为</w:t>
            </w:r>
            <w:r>
              <w:rPr>
                <w:rFonts w:hint="eastAsia" w:ascii="宋体" w:hAnsi="宋体" w:cs="宋体"/>
                <w:kern w:val="0"/>
                <w:sz w:val="21"/>
                <w:szCs w:val="21"/>
                <w:highlight w:val="none"/>
                <w:lang w:val="en-US" w:eastAsia="zh-CN"/>
                <w14:ligatures w14:val="none"/>
              </w:rPr>
              <w:t>5</w:t>
            </w:r>
            <w:r>
              <w:rPr>
                <w:rFonts w:hint="eastAsia" w:ascii="宋体" w:hAnsi="宋体" w:eastAsia="宋体" w:cs="宋体"/>
                <w:kern w:val="0"/>
                <w:sz w:val="21"/>
                <w:szCs w:val="21"/>
                <w:highlight w:val="none"/>
                <w14:ligatures w14:val="none"/>
              </w:rPr>
              <w:t>分。其他投标人的价格分统一按照下列公式计算：投标报价得分=(评标基准价／投标报价)×</w:t>
            </w:r>
            <w:r>
              <w:rPr>
                <w:rFonts w:hint="eastAsia" w:ascii="宋体" w:hAnsi="宋体" w:cs="宋体"/>
                <w:kern w:val="0"/>
                <w:sz w:val="21"/>
                <w:szCs w:val="21"/>
                <w:highlight w:val="none"/>
                <w:lang w:val="en-US" w:eastAsia="zh-CN"/>
                <w14:ligatures w14:val="none"/>
              </w:rPr>
              <w:t>5</w:t>
            </w:r>
            <w:r>
              <w:rPr>
                <w:rFonts w:hint="eastAsia" w:ascii="宋体" w:hAnsi="宋体" w:eastAsia="宋体" w:cs="宋体"/>
                <w:kern w:val="0"/>
                <w:sz w:val="21"/>
                <w:szCs w:val="21"/>
                <w:highlight w:val="none"/>
                <w14:ligatures w14:val="none"/>
              </w:rPr>
              <w:t>%×100。</w:t>
            </w:r>
          </w:p>
        </w:tc>
        <w:tc>
          <w:tcPr>
            <w:tcW w:w="388" w:type="pct"/>
            <w:shd w:val="clear" w:color="auto" w:fill="auto"/>
            <w:vAlign w:val="center"/>
          </w:tcPr>
          <w:p w14:paraId="28E5C5A1">
            <w:pPr>
              <w:jc w:val="center"/>
              <w:rPr>
                <w:rFonts w:hint="eastAsia" w:eastAsia="宋体"/>
                <w:sz w:val="24"/>
                <w:szCs w:val="24"/>
                <w:lang w:val="en-US" w:eastAsia="zh-CN"/>
              </w:rPr>
            </w:pPr>
            <w:r>
              <w:rPr>
                <w:rFonts w:hint="eastAsia"/>
                <w:sz w:val="24"/>
                <w:szCs w:val="24"/>
                <w:lang w:val="en-US" w:eastAsia="zh-CN"/>
              </w:rPr>
              <w:t>5</w:t>
            </w:r>
          </w:p>
        </w:tc>
      </w:tr>
      <w:bookmarkEnd w:id="1"/>
      <w:tr w14:paraId="79FD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shd w:val="clear" w:color="auto" w:fill="auto"/>
            <w:vAlign w:val="center"/>
          </w:tcPr>
          <w:p w14:paraId="65A684DD">
            <w:pPr>
              <w:jc w:val="center"/>
              <w:rPr>
                <w:rFonts w:hint="eastAsia"/>
                <w:sz w:val="24"/>
                <w:szCs w:val="24"/>
                <w:lang w:eastAsia="zh-CN"/>
              </w:rPr>
            </w:pPr>
            <w:r>
              <w:rPr>
                <w:rFonts w:hint="eastAsia"/>
                <w:sz w:val="24"/>
                <w:szCs w:val="24"/>
                <w:lang w:val="en-US" w:eastAsia="zh-CN"/>
              </w:rPr>
              <w:t>2</w:t>
            </w:r>
          </w:p>
        </w:tc>
        <w:tc>
          <w:tcPr>
            <w:tcW w:w="710" w:type="pct"/>
            <w:shd w:val="clear" w:color="auto" w:fill="auto"/>
            <w:vAlign w:val="center"/>
          </w:tcPr>
          <w:p w14:paraId="7AAF1D4E">
            <w:pPr>
              <w:jc w:val="center"/>
              <w:rPr>
                <w:rFonts w:hint="eastAsia"/>
                <w:sz w:val="24"/>
                <w:szCs w:val="24"/>
                <w:lang w:val="en-US" w:eastAsia="zh-CN"/>
              </w:rPr>
            </w:pPr>
            <w:r>
              <w:rPr>
                <w:rFonts w:hint="eastAsia"/>
                <w:sz w:val="24"/>
                <w:szCs w:val="24"/>
                <w:lang w:val="en-US" w:eastAsia="zh-CN"/>
              </w:rPr>
              <w:t>业绩</w:t>
            </w:r>
          </w:p>
          <w:p w14:paraId="0D02088B">
            <w:pPr>
              <w:jc w:val="center"/>
              <w:rPr>
                <w:rFonts w:hint="eastAsia"/>
                <w:sz w:val="24"/>
                <w:szCs w:val="24"/>
              </w:rPr>
            </w:pPr>
            <w:r>
              <w:rPr>
                <w:rFonts w:hint="eastAsia"/>
                <w:sz w:val="24"/>
                <w:szCs w:val="24"/>
              </w:rPr>
              <w:t>（</w:t>
            </w:r>
            <w:r>
              <w:rPr>
                <w:rFonts w:hint="eastAsia"/>
                <w:sz w:val="24"/>
                <w:szCs w:val="24"/>
                <w:lang w:val="en-US" w:eastAsia="zh-CN"/>
              </w:rPr>
              <w:t>15</w:t>
            </w:r>
            <w:r>
              <w:rPr>
                <w:rFonts w:hint="eastAsia"/>
                <w:sz w:val="24"/>
                <w:szCs w:val="24"/>
              </w:rPr>
              <w:t>分）</w:t>
            </w:r>
          </w:p>
        </w:tc>
        <w:tc>
          <w:tcPr>
            <w:tcW w:w="596" w:type="pct"/>
            <w:shd w:val="clear" w:color="auto" w:fill="auto"/>
            <w:vAlign w:val="center"/>
          </w:tcPr>
          <w:p w14:paraId="220E82C8">
            <w:pPr>
              <w:jc w:val="center"/>
              <w:rPr>
                <w:rFonts w:hint="eastAsia"/>
                <w:sz w:val="24"/>
                <w:szCs w:val="24"/>
                <w:lang w:eastAsia="zh-CN"/>
              </w:rPr>
            </w:pPr>
            <w:r>
              <w:rPr>
                <w:rFonts w:hint="eastAsia"/>
                <w:sz w:val="24"/>
                <w:szCs w:val="24"/>
                <w:lang w:val="en-US" w:eastAsia="zh-CN"/>
              </w:rPr>
              <w:t>客观分</w:t>
            </w:r>
          </w:p>
        </w:tc>
        <w:tc>
          <w:tcPr>
            <w:tcW w:w="2969" w:type="pct"/>
            <w:shd w:val="clear" w:color="auto" w:fill="auto"/>
            <w:vAlign w:val="center"/>
          </w:tcPr>
          <w:p w14:paraId="5679FEEA">
            <w:pPr>
              <w:jc w:val="center"/>
              <w:rPr>
                <w:rFonts w:hint="eastAsia"/>
                <w:sz w:val="24"/>
                <w:szCs w:val="24"/>
              </w:rPr>
            </w:pPr>
            <w:r>
              <w:rPr>
                <w:rFonts w:hint="eastAsia"/>
                <w:sz w:val="24"/>
                <w:szCs w:val="24"/>
              </w:rPr>
              <w:t>202</w:t>
            </w:r>
            <w:r>
              <w:rPr>
                <w:rFonts w:hint="eastAsia"/>
                <w:sz w:val="24"/>
                <w:szCs w:val="24"/>
                <w:lang w:val="en-US" w:eastAsia="zh-CN"/>
              </w:rPr>
              <w:t>3</w:t>
            </w:r>
            <w:r>
              <w:rPr>
                <w:rFonts w:hint="eastAsia"/>
                <w:sz w:val="24"/>
                <w:szCs w:val="24"/>
              </w:rPr>
              <w:t>年1月1日至提交投标文件截止日前，投标人承担的同类项目（医疗机构或类似大型公共场所快递服务项目）。</w:t>
            </w:r>
          </w:p>
          <w:p w14:paraId="3DF3015D">
            <w:pPr>
              <w:jc w:val="center"/>
              <w:rPr>
                <w:rFonts w:hint="eastAsia"/>
                <w:sz w:val="24"/>
                <w:szCs w:val="24"/>
                <w:lang w:val="en-US" w:eastAsia="zh-CN"/>
              </w:rPr>
            </w:pPr>
            <w:r>
              <w:rPr>
                <w:rFonts w:hint="eastAsia"/>
                <w:sz w:val="24"/>
                <w:szCs w:val="24"/>
              </w:rPr>
              <w:t>证明材料：合同复印件。</w:t>
            </w:r>
            <w:r>
              <w:rPr>
                <w:rFonts w:hint="eastAsia"/>
                <w:sz w:val="24"/>
                <w:szCs w:val="24"/>
                <w:lang w:val="en-US" w:eastAsia="zh-CN"/>
              </w:rPr>
              <w:t>提供一个得5分，最高得15分。</w:t>
            </w:r>
          </w:p>
        </w:tc>
        <w:tc>
          <w:tcPr>
            <w:tcW w:w="388" w:type="pct"/>
            <w:shd w:val="clear" w:color="auto" w:fill="auto"/>
            <w:vAlign w:val="center"/>
          </w:tcPr>
          <w:p w14:paraId="42A61EEF">
            <w:pPr>
              <w:jc w:val="center"/>
              <w:rPr>
                <w:rFonts w:hint="eastAsia"/>
                <w:sz w:val="24"/>
                <w:szCs w:val="24"/>
                <w:lang w:val="en-US" w:eastAsia="zh-CN"/>
              </w:rPr>
            </w:pPr>
            <w:r>
              <w:rPr>
                <w:rFonts w:hint="eastAsia"/>
                <w:sz w:val="24"/>
                <w:szCs w:val="24"/>
                <w:lang w:val="en-US" w:eastAsia="zh-CN"/>
              </w:rPr>
              <w:t>15</w:t>
            </w:r>
          </w:p>
        </w:tc>
      </w:tr>
      <w:tr w14:paraId="30A0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vMerge w:val="restart"/>
            <w:shd w:val="clear" w:color="auto" w:fill="auto"/>
            <w:vAlign w:val="center"/>
          </w:tcPr>
          <w:p w14:paraId="7D5DB717">
            <w:pPr>
              <w:jc w:val="center"/>
              <w:rPr>
                <w:rFonts w:hint="eastAsia"/>
                <w:sz w:val="24"/>
                <w:szCs w:val="24"/>
                <w:lang w:val="en-US" w:eastAsia="zh-CN"/>
              </w:rPr>
            </w:pPr>
            <w:r>
              <w:rPr>
                <w:rFonts w:hint="eastAsia"/>
                <w:sz w:val="24"/>
                <w:szCs w:val="24"/>
                <w:lang w:val="en-US" w:eastAsia="zh-CN"/>
              </w:rPr>
              <w:t>3</w:t>
            </w:r>
          </w:p>
        </w:tc>
        <w:tc>
          <w:tcPr>
            <w:tcW w:w="710" w:type="pct"/>
            <w:vMerge w:val="restart"/>
            <w:shd w:val="clear" w:color="auto" w:fill="auto"/>
            <w:vAlign w:val="center"/>
          </w:tcPr>
          <w:p w14:paraId="078073D8">
            <w:pPr>
              <w:jc w:val="center"/>
              <w:rPr>
                <w:rFonts w:hint="eastAsia"/>
                <w:sz w:val="24"/>
                <w:szCs w:val="24"/>
                <w:lang w:val="en-US" w:eastAsia="zh-CN"/>
              </w:rPr>
            </w:pPr>
            <w:r>
              <w:rPr>
                <w:rFonts w:hint="eastAsia"/>
                <w:sz w:val="24"/>
                <w:szCs w:val="24"/>
                <w:lang w:val="en-US" w:eastAsia="zh-CN"/>
              </w:rPr>
              <w:t>服务方案</w:t>
            </w:r>
          </w:p>
          <w:p w14:paraId="0F45E2D9">
            <w:pPr>
              <w:jc w:val="center"/>
              <w:rPr>
                <w:rFonts w:hint="eastAsia"/>
                <w:sz w:val="24"/>
                <w:szCs w:val="24"/>
                <w:lang w:val="en-US" w:eastAsia="zh-CN"/>
              </w:rPr>
            </w:pPr>
            <w:r>
              <w:rPr>
                <w:rFonts w:hint="eastAsia"/>
                <w:sz w:val="24"/>
                <w:szCs w:val="24"/>
              </w:rPr>
              <w:t>（</w:t>
            </w:r>
            <w:r>
              <w:rPr>
                <w:rFonts w:hint="eastAsia"/>
                <w:sz w:val="24"/>
                <w:szCs w:val="24"/>
                <w:lang w:val="en-US" w:eastAsia="zh-CN"/>
              </w:rPr>
              <w:t>25</w:t>
            </w:r>
            <w:r>
              <w:rPr>
                <w:rFonts w:hint="eastAsia"/>
                <w:sz w:val="24"/>
                <w:szCs w:val="24"/>
              </w:rPr>
              <w:t>分）</w:t>
            </w:r>
          </w:p>
        </w:tc>
        <w:tc>
          <w:tcPr>
            <w:tcW w:w="596" w:type="pct"/>
            <w:shd w:val="clear" w:color="auto" w:fill="auto"/>
            <w:vAlign w:val="center"/>
          </w:tcPr>
          <w:p w14:paraId="071C4B1E">
            <w:pPr>
              <w:jc w:val="center"/>
              <w:rPr>
                <w:rFonts w:hint="eastAsia"/>
                <w:sz w:val="24"/>
                <w:szCs w:val="24"/>
                <w:lang w:val="en-US" w:eastAsia="zh-CN"/>
              </w:rPr>
            </w:pPr>
            <w:r>
              <w:rPr>
                <w:rFonts w:hint="eastAsia"/>
                <w:sz w:val="24"/>
                <w:szCs w:val="24"/>
                <w:lang w:val="en-US" w:eastAsia="zh-CN"/>
              </w:rPr>
              <w:t>主观分</w:t>
            </w:r>
          </w:p>
        </w:tc>
        <w:tc>
          <w:tcPr>
            <w:tcW w:w="2969" w:type="pct"/>
            <w:shd w:val="clear" w:color="auto" w:fill="auto"/>
            <w:vAlign w:val="center"/>
          </w:tcPr>
          <w:p w14:paraId="6D5ECA65">
            <w:pPr>
              <w:jc w:val="center"/>
              <w:rPr>
                <w:rFonts w:hint="eastAsia"/>
                <w:sz w:val="24"/>
                <w:szCs w:val="24"/>
              </w:rPr>
            </w:pPr>
            <w:r>
              <w:rPr>
                <w:rFonts w:hint="eastAsia"/>
                <w:sz w:val="24"/>
                <w:szCs w:val="24"/>
                <w:lang w:val="en-US" w:eastAsia="zh-CN"/>
              </w:rPr>
              <w:t>服务时间安排：符合招标要求（周一至周五人工驻点8:30-17:30，节假日自助服务）。（0-5分）</w:t>
            </w:r>
          </w:p>
        </w:tc>
        <w:tc>
          <w:tcPr>
            <w:tcW w:w="388" w:type="pct"/>
            <w:shd w:val="clear" w:color="auto" w:fill="auto"/>
            <w:vAlign w:val="center"/>
          </w:tcPr>
          <w:p w14:paraId="68877BAD">
            <w:pPr>
              <w:jc w:val="center"/>
              <w:rPr>
                <w:rFonts w:hint="default"/>
                <w:sz w:val="24"/>
                <w:szCs w:val="24"/>
                <w:lang w:val="en-US" w:eastAsia="zh-CN"/>
              </w:rPr>
            </w:pPr>
            <w:r>
              <w:rPr>
                <w:rFonts w:hint="eastAsia"/>
                <w:sz w:val="24"/>
                <w:szCs w:val="24"/>
                <w:lang w:val="en-US" w:eastAsia="zh-CN"/>
              </w:rPr>
              <w:t>5</w:t>
            </w:r>
          </w:p>
        </w:tc>
      </w:tr>
      <w:tr w14:paraId="6B6E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vMerge w:val="continue"/>
            <w:shd w:val="clear" w:color="auto" w:fill="auto"/>
            <w:vAlign w:val="center"/>
          </w:tcPr>
          <w:p w14:paraId="43833625">
            <w:pPr>
              <w:jc w:val="center"/>
              <w:rPr>
                <w:rFonts w:hint="eastAsia"/>
                <w:sz w:val="24"/>
                <w:szCs w:val="24"/>
                <w:lang w:val="en-US" w:eastAsia="zh-CN"/>
              </w:rPr>
            </w:pPr>
          </w:p>
        </w:tc>
        <w:tc>
          <w:tcPr>
            <w:tcW w:w="710" w:type="pct"/>
            <w:vMerge w:val="continue"/>
            <w:shd w:val="clear" w:color="auto" w:fill="auto"/>
            <w:vAlign w:val="center"/>
          </w:tcPr>
          <w:p w14:paraId="54915BDE">
            <w:pPr>
              <w:jc w:val="center"/>
              <w:rPr>
                <w:rFonts w:hint="eastAsia"/>
                <w:sz w:val="24"/>
                <w:szCs w:val="24"/>
                <w:lang w:val="en-US" w:eastAsia="zh-CN"/>
              </w:rPr>
            </w:pPr>
          </w:p>
        </w:tc>
        <w:tc>
          <w:tcPr>
            <w:tcW w:w="596" w:type="pct"/>
            <w:shd w:val="clear" w:color="auto" w:fill="auto"/>
            <w:vAlign w:val="center"/>
          </w:tcPr>
          <w:p w14:paraId="749AB63E">
            <w:pPr>
              <w:jc w:val="center"/>
              <w:rPr>
                <w:rFonts w:hint="eastAsia"/>
                <w:sz w:val="24"/>
                <w:szCs w:val="24"/>
                <w:lang w:val="en-US" w:eastAsia="zh-CN"/>
              </w:rPr>
            </w:pPr>
            <w:r>
              <w:rPr>
                <w:rFonts w:hint="eastAsia"/>
                <w:sz w:val="24"/>
                <w:szCs w:val="24"/>
                <w:lang w:val="en-US" w:eastAsia="zh-CN"/>
              </w:rPr>
              <w:t>主观分</w:t>
            </w:r>
          </w:p>
        </w:tc>
        <w:tc>
          <w:tcPr>
            <w:tcW w:w="2969" w:type="pct"/>
            <w:shd w:val="clear" w:color="auto" w:fill="auto"/>
            <w:vAlign w:val="center"/>
          </w:tcPr>
          <w:p w14:paraId="39350340">
            <w:pPr>
              <w:jc w:val="center"/>
              <w:rPr>
                <w:rFonts w:hint="eastAsia"/>
                <w:sz w:val="24"/>
                <w:szCs w:val="24"/>
                <w:lang w:val="en-US" w:eastAsia="zh-CN"/>
              </w:rPr>
            </w:pPr>
            <w:r>
              <w:rPr>
                <w:rFonts w:hint="eastAsia"/>
                <w:sz w:val="24"/>
                <w:szCs w:val="24"/>
                <w:lang w:val="en-US" w:eastAsia="zh-CN"/>
              </w:rPr>
              <w:t>寄递服务：全国覆盖到位，隐私保密制度完善，公务件配送、报纸发放方案清晰，快递跟踪服务便捷.（0-10分）</w:t>
            </w:r>
          </w:p>
        </w:tc>
        <w:tc>
          <w:tcPr>
            <w:tcW w:w="388" w:type="pct"/>
            <w:shd w:val="clear" w:color="auto" w:fill="auto"/>
            <w:vAlign w:val="center"/>
          </w:tcPr>
          <w:p w14:paraId="722DA0C4">
            <w:pPr>
              <w:jc w:val="center"/>
              <w:rPr>
                <w:rFonts w:hint="default"/>
                <w:sz w:val="24"/>
                <w:szCs w:val="24"/>
                <w:lang w:val="en-US" w:eastAsia="zh-CN"/>
              </w:rPr>
            </w:pPr>
            <w:r>
              <w:rPr>
                <w:rFonts w:hint="eastAsia"/>
                <w:sz w:val="24"/>
                <w:szCs w:val="24"/>
                <w:lang w:val="en-US" w:eastAsia="zh-CN"/>
              </w:rPr>
              <w:t>10</w:t>
            </w:r>
          </w:p>
        </w:tc>
      </w:tr>
      <w:tr w14:paraId="3AC0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vMerge w:val="continue"/>
            <w:shd w:val="clear" w:color="auto" w:fill="auto"/>
            <w:vAlign w:val="center"/>
          </w:tcPr>
          <w:p w14:paraId="518E572F">
            <w:pPr>
              <w:jc w:val="center"/>
              <w:rPr>
                <w:rFonts w:hint="eastAsia"/>
                <w:sz w:val="24"/>
                <w:szCs w:val="24"/>
                <w:lang w:val="en-US" w:eastAsia="zh-CN"/>
              </w:rPr>
            </w:pPr>
          </w:p>
        </w:tc>
        <w:tc>
          <w:tcPr>
            <w:tcW w:w="710" w:type="pct"/>
            <w:vMerge w:val="continue"/>
            <w:shd w:val="clear" w:color="auto" w:fill="auto"/>
            <w:vAlign w:val="center"/>
          </w:tcPr>
          <w:p w14:paraId="687E7975">
            <w:pPr>
              <w:jc w:val="center"/>
              <w:rPr>
                <w:rFonts w:hint="eastAsia"/>
                <w:sz w:val="24"/>
                <w:szCs w:val="24"/>
                <w:lang w:val="en-US" w:eastAsia="zh-CN"/>
              </w:rPr>
            </w:pPr>
          </w:p>
        </w:tc>
        <w:tc>
          <w:tcPr>
            <w:tcW w:w="596" w:type="pct"/>
            <w:shd w:val="clear" w:color="auto" w:fill="auto"/>
            <w:vAlign w:val="center"/>
          </w:tcPr>
          <w:p w14:paraId="51FD3A06">
            <w:pPr>
              <w:jc w:val="center"/>
              <w:rPr>
                <w:rFonts w:hint="eastAsia"/>
                <w:sz w:val="24"/>
                <w:szCs w:val="24"/>
                <w:lang w:val="en-US" w:eastAsia="zh-CN"/>
              </w:rPr>
            </w:pPr>
            <w:r>
              <w:rPr>
                <w:rFonts w:hint="eastAsia"/>
                <w:sz w:val="24"/>
                <w:szCs w:val="24"/>
                <w:lang w:val="en-US" w:eastAsia="zh-CN"/>
              </w:rPr>
              <w:t>主观分</w:t>
            </w:r>
          </w:p>
        </w:tc>
        <w:tc>
          <w:tcPr>
            <w:tcW w:w="2969" w:type="pct"/>
            <w:shd w:val="clear" w:color="auto" w:fill="auto"/>
            <w:vAlign w:val="center"/>
          </w:tcPr>
          <w:p w14:paraId="5B1760A5">
            <w:pPr>
              <w:jc w:val="center"/>
              <w:rPr>
                <w:rFonts w:hint="eastAsia"/>
                <w:sz w:val="24"/>
                <w:szCs w:val="24"/>
                <w:lang w:val="en-US" w:eastAsia="zh-CN"/>
              </w:rPr>
            </w:pPr>
            <w:r>
              <w:rPr>
                <w:rFonts w:hint="eastAsia"/>
                <w:sz w:val="24"/>
                <w:szCs w:val="24"/>
                <w:lang w:val="en-US" w:eastAsia="zh-CN"/>
              </w:rPr>
              <w:t>运营管理：包裹统一管理、分拣配送流程规范，投诉处理机制完善（工作日当日解决、非工作日次日响应），安全保障措施到位。（0-10分）</w:t>
            </w:r>
          </w:p>
        </w:tc>
        <w:tc>
          <w:tcPr>
            <w:tcW w:w="388" w:type="pct"/>
            <w:shd w:val="clear" w:color="auto" w:fill="auto"/>
            <w:vAlign w:val="center"/>
          </w:tcPr>
          <w:p w14:paraId="6978CDFB">
            <w:pPr>
              <w:jc w:val="center"/>
              <w:rPr>
                <w:rFonts w:hint="default"/>
                <w:sz w:val="24"/>
                <w:szCs w:val="24"/>
                <w:lang w:val="en-US" w:eastAsia="zh-CN"/>
              </w:rPr>
            </w:pPr>
            <w:r>
              <w:rPr>
                <w:rFonts w:hint="eastAsia"/>
                <w:sz w:val="24"/>
                <w:szCs w:val="24"/>
                <w:lang w:val="en-US" w:eastAsia="zh-CN"/>
              </w:rPr>
              <w:t>10</w:t>
            </w:r>
          </w:p>
        </w:tc>
      </w:tr>
      <w:tr w14:paraId="336D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shd w:val="clear" w:color="auto" w:fill="auto"/>
            <w:vAlign w:val="center"/>
          </w:tcPr>
          <w:p w14:paraId="3162BD20">
            <w:pPr>
              <w:jc w:val="center"/>
              <w:rPr>
                <w:rFonts w:hint="default"/>
                <w:sz w:val="24"/>
                <w:szCs w:val="24"/>
                <w:lang w:val="en-US" w:eastAsia="zh-CN"/>
              </w:rPr>
            </w:pPr>
            <w:r>
              <w:rPr>
                <w:rFonts w:hint="eastAsia"/>
                <w:sz w:val="24"/>
                <w:szCs w:val="24"/>
                <w:lang w:val="en-US" w:eastAsia="zh-CN"/>
              </w:rPr>
              <w:t>4</w:t>
            </w:r>
          </w:p>
        </w:tc>
        <w:tc>
          <w:tcPr>
            <w:tcW w:w="710" w:type="pct"/>
            <w:shd w:val="clear" w:color="auto" w:fill="auto"/>
            <w:vAlign w:val="center"/>
          </w:tcPr>
          <w:p w14:paraId="00103488">
            <w:pPr>
              <w:jc w:val="center"/>
              <w:rPr>
                <w:rFonts w:hint="eastAsia"/>
                <w:sz w:val="24"/>
                <w:szCs w:val="24"/>
                <w:lang w:val="en-US" w:eastAsia="zh-CN"/>
              </w:rPr>
            </w:pPr>
            <w:r>
              <w:rPr>
                <w:rFonts w:hint="eastAsia"/>
                <w:sz w:val="24"/>
                <w:szCs w:val="24"/>
                <w:lang w:val="en-US" w:eastAsia="zh-CN"/>
              </w:rPr>
              <w:t>人员配置</w:t>
            </w:r>
          </w:p>
          <w:p w14:paraId="1B61035D">
            <w:pPr>
              <w:jc w:val="center"/>
              <w:rPr>
                <w:rFonts w:hint="default"/>
                <w:sz w:val="24"/>
                <w:szCs w:val="24"/>
                <w:lang w:val="en-US" w:eastAsia="zh-CN"/>
              </w:rPr>
            </w:pPr>
            <w:r>
              <w:rPr>
                <w:rFonts w:hint="eastAsia"/>
                <w:sz w:val="24"/>
                <w:szCs w:val="24"/>
              </w:rPr>
              <w:t>（</w:t>
            </w:r>
            <w:r>
              <w:rPr>
                <w:rFonts w:hint="eastAsia"/>
                <w:sz w:val="24"/>
                <w:szCs w:val="24"/>
                <w:lang w:val="en-US" w:eastAsia="zh-CN"/>
              </w:rPr>
              <w:t>10</w:t>
            </w:r>
            <w:r>
              <w:rPr>
                <w:rFonts w:hint="eastAsia"/>
                <w:sz w:val="24"/>
                <w:szCs w:val="24"/>
              </w:rPr>
              <w:t>分）</w:t>
            </w:r>
          </w:p>
        </w:tc>
        <w:tc>
          <w:tcPr>
            <w:tcW w:w="596" w:type="pct"/>
            <w:shd w:val="clear" w:color="auto" w:fill="auto"/>
            <w:vAlign w:val="center"/>
          </w:tcPr>
          <w:p w14:paraId="6DDB11D7">
            <w:pPr>
              <w:jc w:val="center"/>
              <w:rPr>
                <w:rFonts w:hint="eastAsia"/>
                <w:sz w:val="24"/>
                <w:szCs w:val="24"/>
                <w:lang w:val="en-US" w:eastAsia="zh-CN"/>
              </w:rPr>
            </w:pPr>
            <w:r>
              <w:rPr>
                <w:rFonts w:hint="eastAsia"/>
                <w:sz w:val="24"/>
                <w:szCs w:val="24"/>
                <w:lang w:val="en-US" w:eastAsia="zh-CN"/>
              </w:rPr>
              <w:t>主观分</w:t>
            </w:r>
          </w:p>
        </w:tc>
        <w:tc>
          <w:tcPr>
            <w:tcW w:w="2969" w:type="pct"/>
            <w:shd w:val="clear" w:color="auto" w:fill="auto"/>
            <w:vAlign w:val="center"/>
          </w:tcPr>
          <w:p w14:paraId="0AA0D960">
            <w:pPr>
              <w:jc w:val="center"/>
              <w:rPr>
                <w:rFonts w:hint="eastAsia"/>
                <w:sz w:val="24"/>
                <w:szCs w:val="24"/>
                <w:lang w:val="en-US" w:eastAsia="zh-CN"/>
              </w:rPr>
            </w:pPr>
            <w:r>
              <w:rPr>
                <w:rFonts w:hint="eastAsia"/>
                <w:sz w:val="24"/>
                <w:szCs w:val="24"/>
                <w:lang w:val="en-US" w:eastAsia="zh-CN"/>
              </w:rPr>
              <w:t>满足日均350票处理需求，高峰期增配人员方案合理，派驻人员管理规范（统一着装、持证上岗、培训计划完善）。（0-10分）</w:t>
            </w:r>
          </w:p>
          <w:p w14:paraId="0477ADB3">
            <w:pPr>
              <w:jc w:val="center"/>
              <w:rPr>
                <w:rFonts w:hint="eastAsia"/>
                <w:sz w:val="24"/>
                <w:szCs w:val="24"/>
                <w:lang w:val="en-US" w:eastAsia="zh-CN"/>
              </w:rPr>
            </w:pPr>
          </w:p>
        </w:tc>
        <w:tc>
          <w:tcPr>
            <w:tcW w:w="388" w:type="pct"/>
            <w:shd w:val="clear" w:color="auto" w:fill="auto"/>
            <w:vAlign w:val="center"/>
          </w:tcPr>
          <w:p w14:paraId="001A9A26">
            <w:pPr>
              <w:jc w:val="center"/>
              <w:rPr>
                <w:rFonts w:hint="default"/>
                <w:sz w:val="24"/>
                <w:szCs w:val="24"/>
                <w:lang w:val="en-US" w:eastAsia="zh-CN"/>
              </w:rPr>
            </w:pPr>
            <w:r>
              <w:rPr>
                <w:rFonts w:hint="eastAsia"/>
                <w:sz w:val="24"/>
                <w:szCs w:val="24"/>
                <w:lang w:val="en-US" w:eastAsia="zh-CN"/>
              </w:rPr>
              <w:t>10</w:t>
            </w:r>
          </w:p>
        </w:tc>
      </w:tr>
      <w:tr w14:paraId="6131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vMerge w:val="restart"/>
            <w:shd w:val="clear" w:color="auto" w:fill="auto"/>
            <w:vAlign w:val="center"/>
          </w:tcPr>
          <w:p w14:paraId="14138440">
            <w:pPr>
              <w:jc w:val="center"/>
              <w:rPr>
                <w:rFonts w:hint="eastAsia"/>
                <w:sz w:val="24"/>
                <w:szCs w:val="24"/>
                <w:lang w:val="en-US" w:eastAsia="zh-CN"/>
              </w:rPr>
            </w:pPr>
            <w:r>
              <w:rPr>
                <w:rFonts w:hint="eastAsia"/>
                <w:sz w:val="24"/>
                <w:szCs w:val="24"/>
                <w:lang w:val="en-US" w:eastAsia="zh-CN"/>
              </w:rPr>
              <w:t>5</w:t>
            </w:r>
          </w:p>
          <w:p w14:paraId="6225F534">
            <w:pPr>
              <w:jc w:val="center"/>
              <w:rPr>
                <w:rFonts w:hint="default"/>
                <w:sz w:val="24"/>
                <w:szCs w:val="24"/>
                <w:lang w:val="en-US" w:eastAsia="zh-CN"/>
              </w:rPr>
            </w:pPr>
          </w:p>
        </w:tc>
        <w:tc>
          <w:tcPr>
            <w:tcW w:w="710" w:type="pct"/>
            <w:vMerge w:val="restart"/>
            <w:shd w:val="clear" w:color="auto" w:fill="auto"/>
            <w:vAlign w:val="center"/>
          </w:tcPr>
          <w:p w14:paraId="4B8CC988">
            <w:pPr>
              <w:jc w:val="center"/>
              <w:rPr>
                <w:rFonts w:hint="eastAsia"/>
                <w:sz w:val="24"/>
                <w:szCs w:val="24"/>
                <w:lang w:val="en-US" w:eastAsia="zh-CN"/>
              </w:rPr>
            </w:pPr>
            <w:r>
              <w:rPr>
                <w:rFonts w:hint="eastAsia"/>
                <w:sz w:val="24"/>
                <w:szCs w:val="24"/>
                <w:lang w:val="en-US" w:eastAsia="zh-CN"/>
              </w:rPr>
              <w:t>场地与设备</w:t>
            </w:r>
          </w:p>
          <w:p w14:paraId="29015A69">
            <w:pPr>
              <w:jc w:val="center"/>
              <w:rPr>
                <w:rFonts w:hint="eastAsia"/>
                <w:sz w:val="24"/>
                <w:szCs w:val="24"/>
                <w:lang w:val="en-US" w:eastAsia="zh-CN"/>
              </w:rPr>
            </w:pPr>
            <w:r>
              <w:rPr>
                <w:rFonts w:hint="eastAsia"/>
                <w:sz w:val="24"/>
                <w:szCs w:val="24"/>
                <w:lang w:val="en-US" w:eastAsia="zh-CN"/>
              </w:rPr>
              <w:t>（15分）</w:t>
            </w:r>
          </w:p>
        </w:tc>
        <w:tc>
          <w:tcPr>
            <w:tcW w:w="596" w:type="pct"/>
            <w:shd w:val="clear" w:color="auto" w:fill="auto"/>
            <w:vAlign w:val="center"/>
          </w:tcPr>
          <w:p w14:paraId="533EC2EF">
            <w:pPr>
              <w:jc w:val="center"/>
              <w:rPr>
                <w:rFonts w:hint="eastAsia"/>
                <w:sz w:val="24"/>
                <w:szCs w:val="24"/>
                <w:lang w:val="en-US" w:eastAsia="zh-CN"/>
              </w:rPr>
            </w:pPr>
            <w:r>
              <w:rPr>
                <w:rFonts w:hint="eastAsia"/>
                <w:sz w:val="24"/>
                <w:szCs w:val="24"/>
                <w:lang w:val="en-US" w:eastAsia="zh-CN"/>
              </w:rPr>
              <w:t>主观分</w:t>
            </w:r>
          </w:p>
        </w:tc>
        <w:tc>
          <w:tcPr>
            <w:tcW w:w="2969" w:type="pct"/>
            <w:shd w:val="clear" w:color="auto" w:fill="auto"/>
            <w:vAlign w:val="center"/>
          </w:tcPr>
          <w:p w14:paraId="3D041D6B">
            <w:pPr>
              <w:jc w:val="center"/>
              <w:rPr>
                <w:rFonts w:hint="eastAsia"/>
                <w:sz w:val="24"/>
                <w:szCs w:val="24"/>
                <w:lang w:val="en-US" w:eastAsia="zh-CN"/>
              </w:rPr>
            </w:pPr>
            <w:r>
              <w:rPr>
                <w:rFonts w:hint="eastAsia"/>
                <w:sz w:val="24"/>
                <w:szCs w:val="24"/>
                <w:lang w:val="en-US" w:eastAsia="zh-CN"/>
              </w:rPr>
              <w:t>驿站装修方案：符合医院要求，功能分区合理，水电优化到位。（0-5分）</w:t>
            </w:r>
          </w:p>
          <w:p w14:paraId="3672F516">
            <w:pPr>
              <w:jc w:val="center"/>
              <w:rPr>
                <w:rFonts w:hint="eastAsia"/>
                <w:sz w:val="24"/>
                <w:szCs w:val="24"/>
              </w:rPr>
            </w:pPr>
          </w:p>
        </w:tc>
        <w:tc>
          <w:tcPr>
            <w:tcW w:w="388" w:type="pct"/>
            <w:shd w:val="clear" w:color="auto" w:fill="auto"/>
            <w:vAlign w:val="center"/>
          </w:tcPr>
          <w:p w14:paraId="17A36AC0">
            <w:pPr>
              <w:jc w:val="center"/>
              <w:rPr>
                <w:rFonts w:hint="eastAsia"/>
                <w:sz w:val="24"/>
                <w:szCs w:val="24"/>
                <w:lang w:val="en-US" w:eastAsia="zh-CN"/>
              </w:rPr>
            </w:pPr>
            <w:r>
              <w:rPr>
                <w:rFonts w:hint="eastAsia"/>
                <w:sz w:val="24"/>
                <w:szCs w:val="24"/>
                <w:lang w:val="en-US" w:eastAsia="zh-CN"/>
              </w:rPr>
              <w:t>5</w:t>
            </w:r>
          </w:p>
        </w:tc>
      </w:tr>
      <w:tr w14:paraId="3B2A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vMerge w:val="continue"/>
            <w:shd w:val="clear" w:color="auto" w:fill="auto"/>
            <w:vAlign w:val="center"/>
          </w:tcPr>
          <w:p w14:paraId="55D01738">
            <w:pPr>
              <w:jc w:val="center"/>
              <w:rPr>
                <w:rFonts w:hint="eastAsia"/>
                <w:sz w:val="24"/>
                <w:szCs w:val="24"/>
                <w:lang w:val="en-US" w:eastAsia="zh-CN"/>
              </w:rPr>
            </w:pPr>
          </w:p>
        </w:tc>
        <w:tc>
          <w:tcPr>
            <w:tcW w:w="710" w:type="pct"/>
            <w:vMerge w:val="continue"/>
            <w:shd w:val="clear" w:color="auto" w:fill="auto"/>
            <w:vAlign w:val="center"/>
          </w:tcPr>
          <w:p w14:paraId="64BCC27F">
            <w:pPr>
              <w:jc w:val="center"/>
              <w:rPr>
                <w:rFonts w:hint="eastAsia"/>
                <w:sz w:val="24"/>
                <w:szCs w:val="24"/>
                <w:lang w:val="en-US" w:eastAsia="zh-CN"/>
              </w:rPr>
            </w:pPr>
          </w:p>
        </w:tc>
        <w:tc>
          <w:tcPr>
            <w:tcW w:w="596" w:type="pct"/>
            <w:shd w:val="clear" w:color="auto" w:fill="auto"/>
            <w:vAlign w:val="center"/>
          </w:tcPr>
          <w:p w14:paraId="36363953">
            <w:pPr>
              <w:jc w:val="center"/>
              <w:rPr>
                <w:rFonts w:hint="eastAsia"/>
                <w:sz w:val="24"/>
                <w:szCs w:val="24"/>
                <w:lang w:val="en-US" w:eastAsia="zh-CN"/>
              </w:rPr>
            </w:pPr>
            <w:r>
              <w:rPr>
                <w:rFonts w:hint="eastAsia"/>
                <w:sz w:val="24"/>
                <w:szCs w:val="24"/>
                <w:lang w:val="en-US" w:eastAsia="zh-CN"/>
              </w:rPr>
              <w:t>主观分</w:t>
            </w:r>
          </w:p>
        </w:tc>
        <w:tc>
          <w:tcPr>
            <w:tcW w:w="2969" w:type="pct"/>
            <w:shd w:val="clear" w:color="auto" w:fill="auto"/>
            <w:vAlign w:val="center"/>
          </w:tcPr>
          <w:p w14:paraId="3E5C73CA">
            <w:pPr>
              <w:jc w:val="center"/>
              <w:rPr>
                <w:rFonts w:hint="eastAsia"/>
                <w:sz w:val="24"/>
                <w:szCs w:val="24"/>
              </w:rPr>
            </w:pPr>
            <w:r>
              <w:rPr>
                <w:rFonts w:hint="eastAsia"/>
                <w:sz w:val="24"/>
                <w:szCs w:val="24"/>
                <w:lang w:val="en-US" w:eastAsia="zh-CN"/>
              </w:rPr>
              <w:t>设备配置：满足招标要求（监控全覆盖、消防设施齐全、运营设备达标、自助取件设备稳定）。（0-5分）</w:t>
            </w:r>
          </w:p>
        </w:tc>
        <w:tc>
          <w:tcPr>
            <w:tcW w:w="388" w:type="pct"/>
            <w:shd w:val="clear" w:color="auto" w:fill="auto"/>
            <w:vAlign w:val="center"/>
          </w:tcPr>
          <w:p w14:paraId="275D9A2D">
            <w:pPr>
              <w:jc w:val="center"/>
              <w:rPr>
                <w:rFonts w:hint="eastAsia"/>
                <w:sz w:val="24"/>
                <w:szCs w:val="24"/>
                <w:lang w:val="en-US" w:eastAsia="zh-CN"/>
              </w:rPr>
            </w:pPr>
            <w:r>
              <w:rPr>
                <w:rFonts w:hint="eastAsia"/>
                <w:sz w:val="24"/>
                <w:szCs w:val="24"/>
                <w:lang w:val="en-US" w:eastAsia="zh-CN"/>
              </w:rPr>
              <w:t>5</w:t>
            </w:r>
          </w:p>
        </w:tc>
      </w:tr>
      <w:tr w14:paraId="5285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vMerge w:val="continue"/>
            <w:shd w:val="clear" w:color="auto" w:fill="auto"/>
            <w:vAlign w:val="center"/>
          </w:tcPr>
          <w:p w14:paraId="60E1A917">
            <w:pPr>
              <w:jc w:val="center"/>
              <w:rPr>
                <w:rFonts w:hint="default"/>
                <w:sz w:val="24"/>
                <w:szCs w:val="24"/>
                <w:lang w:val="en-US" w:eastAsia="zh-CN"/>
              </w:rPr>
            </w:pPr>
          </w:p>
        </w:tc>
        <w:tc>
          <w:tcPr>
            <w:tcW w:w="710" w:type="pct"/>
            <w:vMerge w:val="continue"/>
            <w:shd w:val="clear" w:color="auto" w:fill="auto"/>
            <w:vAlign w:val="center"/>
          </w:tcPr>
          <w:p w14:paraId="76B6A5AA">
            <w:pPr>
              <w:jc w:val="center"/>
              <w:rPr>
                <w:rFonts w:hint="eastAsia"/>
                <w:sz w:val="24"/>
                <w:szCs w:val="24"/>
                <w:lang w:val="en-US" w:eastAsia="zh-CN"/>
              </w:rPr>
            </w:pPr>
          </w:p>
        </w:tc>
        <w:tc>
          <w:tcPr>
            <w:tcW w:w="596" w:type="pct"/>
            <w:shd w:val="clear" w:color="auto" w:fill="auto"/>
            <w:vAlign w:val="center"/>
          </w:tcPr>
          <w:p w14:paraId="1A64BB2C">
            <w:pPr>
              <w:jc w:val="center"/>
              <w:rPr>
                <w:rFonts w:hint="eastAsia"/>
                <w:sz w:val="24"/>
                <w:szCs w:val="24"/>
                <w:lang w:val="en-US" w:eastAsia="zh-CN"/>
              </w:rPr>
            </w:pPr>
            <w:r>
              <w:rPr>
                <w:rFonts w:hint="eastAsia"/>
                <w:sz w:val="24"/>
                <w:szCs w:val="24"/>
                <w:lang w:val="en-US" w:eastAsia="zh-CN"/>
              </w:rPr>
              <w:t>主观分</w:t>
            </w:r>
          </w:p>
        </w:tc>
        <w:tc>
          <w:tcPr>
            <w:tcW w:w="2969" w:type="pct"/>
            <w:shd w:val="clear" w:color="auto" w:fill="auto"/>
            <w:vAlign w:val="center"/>
          </w:tcPr>
          <w:p w14:paraId="5B1771D0">
            <w:pPr>
              <w:jc w:val="center"/>
              <w:rPr>
                <w:rFonts w:hint="eastAsia"/>
                <w:sz w:val="24"/>
                <w:szCs w:val="24"/>
                <w:lang w:val="en-US" w:eastAsia="zh-CN"/>
              </w:rPr>
            </w:pPr>
            <w:r>
              <w:rPr>
                <w:rFonts w:hint="eastAsia"/>
                <w:sz w:val="24"/>
                <w:szCs w:val="24"/>
                <w:lang w:val="en-US" w:eastAsia="zh-CN"/>
              </w:rPr>
              <w:t>场地管理承诺：严格遵守医院场地管理要求，承诺合作终止后场地恢复方案明确。（0-5分）</w:t>
            </w:r>
          </w:p>
        </w:tc>
        <w:tc>
          <w:tcPr>
            <w:tcW w:w="388" w:type="pct"/>
            <w:shd w:val="clear" w:color="auto" w:fill="auto"/>
            <w:vAlign w:val="center"/>
          </w:tcPr>
          <w:p w14:paraId="027FFE6F">
            <w:pPr>
              <w:jc w:val="center"/>
              <w:rPr>
                <w:rFonts w:hint="eastAsia"/>
                <w:sz w:val="24"/>
                <w:szCs w:val="24"/>
                <w:lang w:val="en-US" w:eastAsia="zh-CN"/>
              </w:rPr>
            </w:pPr>
            <w:r>
              <w:rPr>
                <w:rFonts w:hint="eastAsia"/>
                <w:sz w:val="24"/>
                <w:szCs w:val="24"/>
                <w:lang w:val="en-US" w:eastAsia="zh-CN"/>
              </w:rPr>
              <w:t>5</w:t>
            </w:r>
          </w:p>
        </w:tc>
      </w:tr>
      <w:tr w14:paraId="3699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shd w:val="clear" w:color="auto" w:fill="auto"/>
            <w:vAlign w:val="center"/>
          </w:tcPr>
          <w:p w14:paraId="10BC76DD">
            <w:pPr>
              <w:jc w:val="center"/>
              <w:rPr>
                <w:rFonts w:hint="default"/>
                <w:sz w:val="24"/>
                <w:szCs w:val="24"/>
                <w:lang w:val="en-US" w:eastAsia="zh-CN"/>
              </w:rPr>
            </w:pPr>
            <w:r>
              <w:rPr>
                <w:rFonts w:hint="eastAsia"/>
                <w:sz w:val="24"/>
                <w:szCs w:val="24"/>
                <w:lang w:val="en-US" w:eastAsia="zh-CN"/>
              </w:rPr>
              <w:t>6</w:t>
            </w:r>
          </w:p>
        </w:tc>
        <w:tc>
          <w:tcPr>
            <w:tcW w:w="710" w:type="pct"/>
            <w:shd w:val="clear" w:color="auto" w:fill="auto"/>
            <w:vAlign w:val="center"/>
          </w:tcPr>
          <w:p w14:paraId="48AE6BF4">
            <w:pPr>
              <w:jc w:val="center"/>
              <w:rPr>
                <w:rFonts w:hint="eastAsia"/>
                <w:sz w:val="24"/>
                <w:szCs w:val="24"/>
                <w:lang w:val="en-US" w:eastAsia="zh-CN"/>
              </w:rPr>
            </w:pPr>
            <w:r>
              <w:rPr>
                <w:rFonts w:hint="eastAsia"/>
                <w:sz w:val="24"/>
                <w:szCs w:val="24"/>
                <w:lang w:val="en-US" w:eastAsia="zh-CN"/>
              </w:rPr>
              <w:t>应急处置</w:t>
            </w:r>
          </w:p>
          <w:p w14:paraId="51D4CD4A">
            <w:pPr>
              <w:jc w:val="center"/>
              <w:rPr>
                <w:rFonts w:hint="eastAsia"/>
                <w:sz w:val="24"/>
                <w:szCs w:val="24"/>
                <w:lang w:val="en-US" w:eastAsia="zh-CN"/>
              </w:rPr>
            </w:pPr>
            <w:r>
              <w:rPr>
                <w:rFonts w:hint="eastAsia"/>
                <w:sz w:val="24"/>
                <w:szCs w:val="24"/>
              </w:rPr>
              <w:t>（</w:t>
            </w:r>
            <w:r>
              <w:rPr>
                <w:rFonts w:hint="eastAsia"/>
                <w:sz w:val="24"/>
                <w:szCs w:val="24"/>
                <w:lang w:val="en-US" w:eastAsia="zh-CN"/>
              </w:rPr>
              <w:t>5</w:t>
            </w:r>
            <w:r>
              <w:rPr>
                <w:rFonts w:hint="eastAsia"/>
                <w:sz w:val="24"/>
                <w:szCs w:val="24"/>
              </w:rPr>
              <w:t>分）</w:t>
            </w:r>
          </w:p>
        </w:tc>
        <w:tc>
          <w:tcPr>
            <w:tcW w:w="596" w:type="pct"/>
            <w:shd w:val="clear" w:color="auto" w:fill="auto"/>
            <w:vAlign w:val="center"/>
          </w:tcPr>
          <w:p w14:paraId="32A97954">
            <w:pPr>
              <w:jc w:val="center"/>
              <w:rPr>
                <w:rFonts w:hint="eastAsia"/>
                <w:sz w:val="24"/>
                <w:szCs w:val="24"/>
                <w:lang w:val="en-US" w:eastAsia="zh-CN"/>
              </w:rPr>
            </w:pPr>
            <w:r>
              <w:rPr>
                <w:rFonts w:hint="eastAsia"/>
                <w:sz w:val="24"/>
                <w:szCs w:val="24"/>
                <w:lang w:val="en-US" w:eastAsia="zh-CN"/>
              </w:rPr>
              <w:t>主观分</w:t>
            </w:r>
          </w:p>
        </w:tc>
        <w:tc>
          <w:tcPr>
            <w:tcW w:w="2969" w:type="pct"/>
            <w:shd w:val="clear" w:color="auto" w:fill="auto"/>
            <w:vAlign w:val="center"/>
          </w:tcPr>
          <w:p w14:paraId="7AD54C2E">
            <w:pPr>
              <w:jc w:val="center"/>
              <w:rPr>
                <w:rFonts w:hint="eastAsia"/>
                <w:sz w:val="24"/>
                <w:szCs w:val="24"/>
                <w:lang w:val="en-US" w:eastAsia="zh-CN"/>
              </w:rPr>
            </w:pPr>
            <w:r>
              <w:rPr>
                <w:rFonts w:hint="eastAsia"/>
                <w:sz w:val="24"/>
                <w:szCs w:val="24"/>
                <w:lang w:val="en-US" w:eastAsia="zh-CN"/>
              </w:rPr>
              <w:t>针对快递积压、设备故障、突发安全事件等制定完善的应急方案。（0-5分）</w:t>
            </w:r>
          </w:p>
        </w:tc>
        <w:tc>
          <w:tcPr>
            <w:tcW w:w="388" w:type="pct"/>
            <w:shd w:val="clear" w:color="auto" w:fill="auto"/>
            <w:vAlign w:val="center"/>
          </w:tcPr>
          <w:p w14:paraId="3D3B5086">
            <w:pPr>
              <w:jc w:val="center"/>
              <w:rPr>
                <w:rFonts w:hint="eastAsia"/>
                <w:sz w:val="24"/>
                <w:szCs w:val="24"/>
                <w:lang w:val="en-US" w:eastAsia="zh-CN"/>
              </w:rPr>
            </w:pPr>
            <w:r>
              <w:rPr>
                <w:rFonts w:hint="eastAsia"/>
                <w:sz w:val="24"/>
                <w:szCs w:val="24"/>
                <w:lang w:val="en-US" w:eastAsia="zh-CN"/>
              </w:rPr>
              <w:t>5</w:t>
            </w:r>
          </w:p>
        </w:tc>
      </w:tr>
      <w:tr w14:paraId="1838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vMerge w:val="restart"/>
            <w:shd w:val="clear" w:color="auto" w:fill="auto"/>
            <w:vAlign w:val="center"/>
          </w:tcPr>
          <w:p w14:paraId="09F27799">
            <w:pPr>
              <w:jc w:val="center"/>
              <w:rPr>
                <w:rFonts w:hint="default"/>
                <w:sz w:val="24"/>
                <w:szCs w:val="24"/>
                <w:lang w:val="en-US" w:eastAsia="zh-CN"/>
              </w:rPr>
            </w:pPr>
            <w:r>
              <w:rPr>
                <w:rFonts w:hint="eastAsia"/>
                <w:sz w:val="24"/>
                <w:szCs w:val="24"/>
                <w:lang w:val="en-US" w:eastAsia="zh-CN"/>
              </w:rPr>
              <w:t>7</w:t>
            </w:r>
          </w:p>
        </w:tc>
        <w:tc>
          <w:tcPr>
            <w:tcW w:w="710" w:type="pct"/>
            <w:vMerge w:val="restart"/>
            <w:shd w:val="clear" w:color="auto" w:fill="auto"/>
            <w:vAlign w:val="center"/>
          </w:tcPr>
          <w:p w14:paraId="018D4874">
            <w:pPr>
              <w:jc w:val="center"/>
              <w:rPr>
                <w:rFonts w:hint="eastAsia"/>
                <w:sz w:val="24"/>
                <w:szCs w:val="24"/>
                <w:lang w:val="en-US" w:eastAsia="zh-CN"/>
              </w:rPr>
            </w:pPr>
            <w:r>
              <w:rPr>
                <w:rFonts w:hint="eastAsia"/>
                <w:sz w:val="24"/>
                <w:szCs w:val="24"/>
                <w:lang w:val="en-US" w:eastAsia="zh-CN"/>
              </w:rPr>
              <w:t>服务承诺</w:t>
            </w:r>
          </w:p>
          <w:p w14:paraId="6DA2BCD9">
            <w:pPr>
              <w:jc w:val="center"/>
              <w:rPr>
                <w:rFonts w:hint="eastAsia"/>
                <w:sz w:val="24"/>
                <w:szCs w:val="24"/>
                <w:lang w:val="en-US" w:eastAsia="zh-CN"/>
              </w:rPr>
            </w:pPr>
            <w:r>
              <w:rPr>
                <w:rFonts w:hint="eastAsia"/>
                <w:sz w:val="24"/>
                <w:szCs w:val="24"/>
              </w:rPr>
              <w:t>（</w:t>
            </w:r>
            <w:r>
              <w:rPr>
                <w:rFonts w:hint="eastAsia"/>
                <w:sz w:val="24"/>
                <w:szCs w:val="24"/>
                <w:lang w:val="en-US" w:eastAsia="zh-CN"/>
              </w:rPr>
              <w:t>20</w:t>
            </w:r>
            <w:r>
              <w:rPr>
                <w:rFonts w:hint="eastAsia"/>
                <w:sz w:val="24"/>
                <w:szCs w:val="24"/>
              </w:rPr>
              <w:t>分）</w:t>
            </w:r>
          </w:p>
        </w:tc>
        <w:tc>
          <w:tcPr>
            <w:tcW w:w="596" w:type="pct"/>
            <w:shd w:val="clear" w:color="auto" w:fill="auto"/>
            <w:vAlign w:val="center"/>
          </w:tcPr>
          <w:p w14:paraId="162EC211">
            <w:pPr>
              <w:jc w:val="center"/>
              <w:rPr>
                <w:rFonts w:hint="eastAsia"/>
                <w:sz w:val="24"/>
                <w:szCs w:val="24"/>
                <w:lang w:val="en-US" w:eastAsia="zh-CN"/>
              </w:rPr>
            </w:pPr>
            <w:r>
              <w:rPr>
                <w:rFonts w:hint="eastAsia"/>
                <w:sz w:val="24"/>
                <w:szCs w:val="24"/>
                <w:lang w:val="en-US" w:eastAsia="zh-CN"/>
              </w:rPr>
              <w:t>主观分</w:t>
            </w:r>
          </w:p>
        </w:tc>
        <w:tc>
          <w:tcPr>
            <w:tcW w:w="2969" w:type="pct"/>
            <w:shd w:val="clear" w:color="auto" w:fill="auto"/>
            <w:vAlign w:val="center"/>
          </w:tcPr>
          <w:p w14:paraId="6B795325">
            <w:pPr>
              <w:jc w:val="center"/>
              <w:rPr>
                <w:rFonts w:hint="eastAsia"/>
                <w:sz w:val="24"/>
                <w:szCs w:val="24"/>
                <w:lang w:val="en-US" w:eastAsia="zh-CN"/>
              </w:rPr>
            </w:pPr>
            <w:r>
              <w:rPr>
                <w:rFonts w:hint="eastAsia"/>
                <w:sz w:val="24"/>
                <w:szCs w:val="24"/>
                <w:lang w:val="en-US" w:eastAsia="zh-CN"/>
              </w:rPr>
              <w:t>明确包裹延误、丢失、损毁的赔偿标准，承诺符合招标要求。（0-10分）</w:t>
            </w:r>
          </w:p>
          <w:p w14:paraId="7B4ED472">
            <w:pPr>
              <w:jc w:val="center"/>
              <w:rPr>
                <w:rFonts w:hint="eastAsia"/>
                <w:sz w:val="24"/>
                <w:szCs w:val="24"/>
                <w:lang w:val="en-US" w:eastAsia="zh-CN"/>
              </w:rPr>
            </w:pPr>
          </w:p>
        </w:tc>
        <w:tc>
          <w:tcPr>
            <w:tcW w:w="388" w:type="pct"/>
            <w:shd w:val="clear" w:color="auto" w:fill="auto"/>
            <w:vAlign w:val="center"/>
          </w:tcPr>
          <w:p w14:paraId="7E1478CD">
            <w:pPr>
              <w:jc w:val="center"/>
              <w:rPr>
                <w:rFonts w:hint="default"/>
                <w:sz w:val="24"/>
                <w:szCs w:val="24"/>
                <w:lang w:val="en-US" w:eastAsia="zh-CN"/>
              </w:rPr>
            </w:pPr>
            <w:r>
              <w:rPr>
                <w:rFonts w:hint="eastAsia"/>
                <w:sz w:val="24"/>
                <w:szCs w:val="24"/>
                <w:lang w:val="en-US" w:eastAsia="zh-CN"/>
              </w:rPr>
              <w:t>10</w:t>
            </w:r>
          </w:p>
        </w:tc>
      </w:tr>
      <w:tr w14:paraId="71F0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vMerge w:val="continue"/>
            <w:shd w:val="clear" w:color="auto" w:fill="auto"/>
            <w:vAlign w:val="center"/>
          </w:tcPr>
          <w:p w14:paraId="409E5E73">
            <w:pPr>
              <w:jc w:val="center"/>
              <w:rPr>
                <w:rFonts w:hint="eastAsia"/>
                <w:sz w:val="24"/>
                <w:szCs w:val="24"/>
                <w:lang w:val="en-US" w:eastAsia="zh-CN"/>
              </w:rPr>
            </w:pPr>
          </w:p>
        </w:tc>
        <w:tc>
          <w:tcPr>
            <w:tcW w:w="710" w:type="pct"/>
            <w:vMerge w:val="continue"/>
            <w:shd w:val="clear" w:color="auto" w:fill="auto"/>
            <w:vAlign w:val="center"/>
          </w:tcPr>
          <w:p w14:paraId="501CAE37">
            <w:pPr>
              <w:jc w:val="center"/>
              <w:rPr>
                <w:rFonts w:hint="eastAsia"/>
                <w:sz w:val="24"/>
                <w:szCs w:val="24"/>
                <w:lang w:val="en-US" w:eastAsia="zh-CN"/>
              </w:rPr>
            </w:pPr>
          </w:p>
        </w:tc>
        <w:tc>
          <w:tcPr>
            <w:tcW w:w="596" w:type="pct"/>
            <w:shd w:val="clear" w:color="auto" w:fill="auto"/>
            <w:vAlign w:val="center"/>
          </w:tcPr>
          <w:p w14:paraId="1694F3A0">
            <w:pPr>
              <w:jc w:val="center"/>
              <w:rPr>
                <w:rFonts w:hint="eastAsia"/>
                <w:sz w:val="24"/>
                <w:szCs w:val="24"/>
                <w:lang w:val="en-US" w:eastAsia="zh-CN"/>
              </w:rPr>
            </w:pPr>
            <w:r>
              <w:rPr>
                <w:rFonts w:hint="eastAsia"/>
                <w:sz w:val="24"/>
                <w:szCs w:val="24"/>
                <w:lang w:val="en-US" w:eastAsia="zh-CN"/>
              </w:rPr>
              <w:t>主观分</w:t>
            </w:r>
          </w:p>
        </w:tc>
        <w:tc>
          <w:tcPr>
            <w:tcW w:w="2969" w:type="pct"/>
            <w:shd w:val="clear" w:color="auto" w:fill="auto"/>
            <w:vAlign w:val="center"/>
          </w:tcPr>
          <w:p w14:paraId="20CB90A5">
            <w:pPr>
              <w:jc w:val="center"/>
              <w:rPr>
                <w:rFonts w:hint="default"/>
                <w:sz w:val="24"/>
                <w:szCs w:val="24"/>
                <w:lang w:val="en-US" w:eastAsia="zh-CN"/>
              </w:rPr>
            </w:pPr>
            <w:r>
              <w:rPr>
                <w:rFonts w:hint="eastAsia"/>
                <w:sz w:val="24"/>
                <w:szCs w:val="24"/>
                <w:lang w:val="en-US" w:eastAsia="zh-CN"/>
              </w:rPr>
              <w:t>针对有时限要求的快递（如标书、冷链医疗器械、冷链药品）进行实时配送；有承诺得10分，无承诺不得分；</w:t>
            </w:r>
          </w:p>
        </w:tc>
        <w:tc>
          <w:tcPr>
            <w:tcW w:w="388" w:type="pct"/>
            <w:shd w:val="clear" w:color="auto" w:fill="auto"/>
            <w:vAlign w:val="center"/>
          </w:tcPr>
          <w:p w14:paraId="324B6F39">
            <w:pPr>
              <w:jc w:val="center"/>
              <w:rPr>
                <w:rFonts w:hint="default"/>
                <w:sz w:val="24"/>
                <w:szCs w:val="24"/>
                <w:lang w:val="en-US" w:eastAsia="zh-CN"/>
              </w:rPr>
            </w:pPr>
            <w:r>
              <w:rPr>
                <w:rFonts w:hint="eastAsia"/>
                <w:sz w:val="24"/>
                <w:szCs w:val="24"/>
                <w:lang w:val="en-US" w:eastAsia="zh-CN"/>
              </w:rPr>
              <w:t>10</w:t>
            </w:r>
          </w:p>
        </w:tc>
      </w:tr>
    </w:tbl>
    <w:p w14:paraId="73C36A4F">
      <w:pPr>
        <w:spacing w:line="251" w:lineRule="auto"/>
        <w:rPr>
          <w:rFonts w:ascii="Arial"/>
          <w:sz w:val="21"/>
          <w:highlight w:val="none"/>
        </w:rPr>
      </w:pPr>
    </w:p>
    <w:p w14:paraId="2DF98E24">
      <w:pPr>
        <w:pageBreakBefore w:val="0"/>
        <w:numPr>
          <w:ilvl w:val="0"/>
          <w:numId w:val="4"/>
        </w:numPr>
        <w:kinsoku/>
        <w:wordWrap/>
        <w:overflowPunct/>
        <w:topLinePunct w:val="0"/>
        <w:autoSpaceDE/>
        <w:autoSpaceDN/>
        <w:bidi w:val="0"/>
        <w:adjustRightInd/>
        <w:snapToGrid/>
        <w:spacing w:before="56" w:line="240" w:lineRule="auto"/>
        <w:ind w:left="144"/>
        <w:textAlignment w:val="auto"/>
        <w:outlineLvl w:val="6"/>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商务评审 (总分 </w:t>
      </w:r>
      <w:r>
        <w:rPr>
          <w:rFonts w:hint="eastAsia" w:ascii="宋体" w:hAnsi="宋体"/>
          <w:b/>
          <w:color w:val="000000" w:themeColor="text1"/>
          <w:sz w:val="24"/>
          <w:highlight w:val="none"/>
          <w:lang w:val="en-US" w:eastAsia="zh-CN"/>
          <w14:textFill>
            <w14:solidFill>
              <w14:schemeClr w14:val="tx1"/>
            </w14:solidFill>
          </w14:textFill>
        </w:rPr>
        <w:t>10</w:t>
      </w:r>
      <w:r>
        <w:rPr>
          <w:rFonts w:hint="eastAsia" w:ascii="宋体" w:hAnsi="宋体"/>
          <w:b/>
          <w:color w:val="000000" w:themeColor="text1"/>
          <w:sz w:val="24"/>
          <w:highlight w:val="none"/>
          <w14:textFill>
            <w14:solidFill>
              <w14:schemeClr w14:val="tx1"/>
            </w14:solidFill>
          </w14:textFill>
        </w:rPr>
        <w:t>分)</w:t>
      </w:r>
    </w:p>
    <w:p w14:paraId="07903A00">
      <w:pPr>
        <w:pageBreakBefore w:val="0"/>
        <w:numPr>
          <w:ilvl w:val="0"/>
          <w:numId w:val="0"/>
        </w:numPr>
        <w:kinsoku/>
        <w:wordWrap/>
        <w:overflowPunct/>
        <w:topLinePunct w:val="0"/>
        <w:autoSpaceDE/>
        <w:autoSpaceDN/>
        <w:bidi w:val="0"/>
        <w:adjustRightInd/>
        <w:snapToGrid/>
        <w:spacing w:before="56" w:line="240" w:lineRule="auto"/>
        <w:ind w:firstLine="480" w:firstLineChars="200"/>
        <w:textAlignment w:val="auto"/>
        <w:outlineLvl w:val="6"/>
        <w:rPr>
          <w:rFonts w:hint="eastAsia" w:ascii="宋体" w:hAnsi="宋体" w:eastAsia="宋体"/>
          <w:b/>
          <w:color w:val="000000" w:themeColor="text1"/>
          <w:sz w:val="24"/>
          <w:highlight w:val="none"/>
          <w:lang w:val="en-US" w:eastAsia="zh-CN"/>
          <w14:textFill>
            <w14:solidFill>
              <w14:schemeClr w14:val="tx1"/>
            </w14:solidFill>
          </w14:textFill>
        </w:rPr>
      </w:pPr>
      <w:r>
        <w:rPr>
          <w:rFonts w:ascii="宋体" w:hAnsi="宋体" w:eastAsia="宋体" w:cs="宋体"/>
          <w:spacing w:val="5"/>
          <w:sz w:val="23"/>
          <w:szCs w:val="23"/>
          <w:highlight w:val="none"/>
          <w14:textOutline w14:w="4358" w14:cap="sq" w14:cmpd="sng">
            <w14:solidFill>
              <w14:srgbClr w14:val="000000"/>
            </w14:solidFill>
            <w14:prstDash w14:val="solid"/>
            <w14:bevel/>
          </w14:textOutline>
        </w:rPr>
        <w:t>商务</w:t>
      </w:r>
      <w:r>
        <w:rPr>
          <w:rFonts w:hint="eastAsia" w:ascii="宋体" w:hAnsi="宋体" w:cs="宋体"/>
          <w:spacing w:val="5"/>
          <w:sz w:val="23"/>
          <w:szCs w:val="23"/>
          <w:highlight w:val="none"/>
          <w:lang w:val="en-US" w:eastAsia="zh-CN"/>
          <w14:textOutline w14:w="4358" w14:cap="sq" w14:cmpd="sng">
            <w14:solidFill>
              <w14:srgbClr w14:val="000000"/>
            </w14:solidFill>
            <w14:prstDash w14:val="solid"/>
            <w14:bevel/>
          </w14:textOutline>
        </w:rPr>
        <w:t>总</w:t>
      </w:r>
      <w:r>
        <w:rPr>
          <w:rFonts w:ascii="宋体" w:hAnsi="宋体" w:eastAsia="宋体" w:cs="宋体"/>
          <w:spacing w:val="5"/>
          <w:sz w:val="23"/>
          <w:szCs w:val="23"/>
          <w:highlight w:val="none"/>
          <w14:textOutline w14:w="4358" w14:cap="sq" w14:cmpd="sng">
            <w14:solidFill>
              <w14:srgbClr w14:val="000000"/>
            </w14:solidFill>
            <w14:prstDash w14:val="solid"/>
            <w14:bevel/>
          </w14:textOutline>
        </w:rPr>
        <w:t>得分</w:t>
      </w:r>
      <w:r>
        <w:rPr>
          <w:rFonts w:hint="eastAsia" w:ascii="宋体" w:hAnsi="宋体" w:cs="宋体"/>
          <w:spacing w:val="5"/>
          <w:sz w:val="23"/>
          <w:szCs w:val="23"/>
          <w:highlight w:val="none"/>
          <w:lang w:eastAsia="zh-CN"/>
          <w14:textOutline w14:w="4358" w14:cap="sq" w14:cmpd="sng">
            <w14:solidFill>
              <w14:srgbClr w14:val="000000"/>
            </w14:solidFill>
            <w14:prstDash w14:val="solid"/>
            <w14:bevel/>
          </w14:textOutline>
        </w:rPr>
        <w:t>：</w:t>
      </w:r>
      <w:r>
        <w:rPr>
          <w:rFonts w:ascii="宋体" w:hAnsi="宋体" w:eastAsia="宋体" w:cs="宋体"/>
          <w:spacing w:val="5"/>
          <w:sz w:val="23"/>
          <w:szCs w:val="23"/>
          <w:highlight w:val="none"/>
          <w14:textOutline w14:w="4358" w14:cap="sq" w14:cmpd="sng">
            <w14:solidFill>
              <w14:srgbClr w14:val="000000"/>
            </w14:solidFill>
            <w14:prstDash w14:val="solid"/>
            <w14:bevel/>
          </w14:textOutline>
        </w:rPr>
        <w:t>商务得分</w:t>
      </w:r>
      <w:r>
        <w:rPr>
          <w:rFonts w:hint="eastAsia" w:ascii="宋体" w:hAnsi="宋体" w:cs="宋体"/>
          <w:spacing w:val="5"/>
          <w:sz w:val="23"/>
          <w:szCs w:val="23"/>
          <w:highlight w:val="none"/>
          <w:lang w:eastAsia="zh-CN"/>
          <w14:textOutline w14:w="4358" w14:cap="sq" w14:cmpd="sng">
            <w14:solidFill>
              <w14:srgbClr w14:val="000000"/>
            </w14:solidFill>
            <w14:prstDash w14:val="solid"/>
            <w14:bevel/>
          </w14:textOutline>
        </w:rPr>
        <w:t>（</w:t>
      </w:r>
      <w:r>
        <w:rPr>
          <w:rFonts w:hint="eastAsia" w:ascii="宋体" w:hAnsi="宋体" w:cs="宋体"/>
          <w:spacing w:val="5"/>
          <w:sz w:val="23"/>
          <w:szCs w:val="23"/>
          <w:highlight w:val="none"/>
          <w:lang w:val="en-US" w:eastAsia="zh-CN"/>
          <w14:textOutline w14:w="4358" w14:cap="sq" w14:cmpd="sng">
            <w14:solidFill>
              <w14:srgbClr w14:val="000000"/>
            </w14:solidFill>
            <w14:prstDash w14:val="solid"/>
            <w14:bevel/>
          </w14:textOutline>
        </w:rPr>
        <w:t>服务费</w:t>
      </w:r>
      <w:r>
        <w:rPr>
          <w:rFonts w:hint="eastAsia" w:ascii="宋体" w:hAnsi="宋体" w:cs="宋体"/>
          <w:spacing w:val="5"/>
          <w:sz w:val="23"/>
          <w:szCs w:val="23"/>
          <w:highlight w:val="none"/>
          <w:lang w:eastAsia="zh-CN"/>
          <w14:textOutline w14:w="4358" w14:cap="sq" w14:cmpd="sng">
            <w14:solidFill>
              <w14:srgbClr w14:val="000000"/>
            </w14:solidFill>
            <w14:prstDash w14:val="solid"/>
            <w14:bevel/>
          </w14:textOutline>
        </w:rPr>
        <w:t>）</w:t>
      </w:r>
      <w:r>
        <w:rPr>
          <w:rFonts w:hint="eastAsia" w:ascii="宋体" w:hAnsi="宋体" w:cs="宋体"/>
          <w:spacing w:val="5"/>
          <w:sz w:val="23"/>
          <w:szCs w:val="23"/>
          <w:highlight w:val="none"/>
          <w:lang w:val="en-US" w:eastAsia="zh-CN"/>
          <w14:textOutline w14:w="4358" w14:cap="sq" w14:cmpd="sng">
            <w14:solidFill>
              <w14:srgbClr w14:val="000000"/>
            </w14:solidFill>
            <w14:prstDash w14:val="solid"/>
            <w14:bevel/>
          </w14:textOutline>
        </w:rPr>
        <w:t>+</w:t>
      </w:r>
      <w:r>
        <w:rPr>
          <w:rFonts w:ascii="宋体" w:hAnsi="宋体" w:eastAsia="宋体" w:cs="宋体"/>
          <w:spacing w:val="5"/>
          <w:sz w:val="23"/>
          <w:szCs w:val="23"/>
          <w:highlight w:val="none"/>
          <w14:textOutline w14:w="4358" w14:cap="sq" w14:cmpd="sng">
            <w14:solidFill>
              <w14:srgbClr w14:val="000000"/>
            </w14:solidFill>
            <w14:prstDash w14:val="solid"/>
            <w14:bevel/>
          </w14:textOutline>
        </w:rPr>
        <w:t>商务得分</w:t>
      </w:r>
      <w:r>
        <w:rPr>
          <w:rFonts w:hint="eastAsia" w:ascii="宋体" w:hAnsi="宋体" w:cs="宋体"/>
          <w:spacing w:val="5"/>
          <w:sz w:val="23"/>
          <w:szCs w:val="23"/>
          <w:highlight w:val="none"/>
          <w:lang w:eastAsia="zh-CN"/>
          <w14:textOutline w14:w="4358" w14:cap="sq" w14:cmpd="sng">
            <w14:solidFill>
              <w14:srgbClr w14:val="000000"/>
            </w14:solidFill>
            <w14:prstDash w14:val="solid"/>
            <w14:bevel/>
          </w14:textOutline>
        </w:rPr>
        <w:t>（</w:t>
      </w:r>
      <w:r>
        <w:rPr>
          <w:rFonts w:hint="eastAsia" w:ascii="宋体" w:hAnsi="宋体" w:cs="宋体"/>
          <w:spacing w:val="5"/>
          <w:sz w:val="23"/>
          <w:szCs w:val="23"/>
          <w:highlight w:val="none"/>
          <w:lang w:val="en-US" w:eastAsia="zh-CN"/>
          <w14:textOutline w14:w="4358" w14:cap="sq" w14:cmpd="sng">
            <w14:solidFill>
              <w14:srgbClr w14:val="000000"/>
            </w14:solidFill>
            <w14:prstDash w14:val="solid"/>
            <w14:bevel/>
          </w14:textOutline>
        </w:rPr>
        <w:t>快递投递折扣优惠</w:t>
      </w:r>
      <w:r>
        <w:rPr>
          <w:rFonts w:hint="eastAsia" w:ascii="宋体" w:hAnsi="宋体" w:cs="宋体"/>
          <w:spacing w:val="5"/>
          <w:sz w:val="23"/>
          <w:szCs w:val="23"/>
          <w:highlight w:val="none"/>
          <w:lang w:eastAsia="zh-CN"/>
          <w14:textOutline w14:w="4358" w14:cap="sq" w14:cmpd="sng">
            <w14:solidFill>
              <w14:srgbClr w14:val="000000"/>
            </w14:solidFill>
            <w14:prstDash w14:val="solid"/>
            <w14:bevel/>
          </w14:textOutline>
        </w:rPr>
        <w:t>）；</w:t>
      </w:r>
    </w:p>
    <w:p w14:paraId="10FC58D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eastAsia="宋体" w:cs="宋体"/>
          <w:sz w:val="23"/>
          <w:szCs w:val="23"/>
          <w:highlight w:val="none"/>
        </w:rPr>
      </w:pPr>
      <w:r>
        <w:rPr>
          <w:rFonts w:ascii="宋体" w:hAnsi="宋体" w:eastAsia="宋体" w:cs="宋体"/>
          <w:spacing w:val="5"/>
          <w:sz w:val="23"/>
          <w:szCs w:val="23"/>
          <w:highlight w:val="none"/>
          <w14:textOutline w14:w="4358" w14:cap="sq" w14:cmpd="sng">
            <w14:solidFill>
              <w14:srgbClr w14:val="000000"/>
            </w14:solidFill>
            <w14:prstDash w14:val="solid"/>
            <w14:bevel/>
          </w14:textOutline>
        </w:rPr>
        <w:t>商务得分=</w:t>
      </w:r>
      <w:r>
        <w:rPr>
          <w:rFonts w:ascii="宋体" w:hAnsi="宋体" w:eastAsia="宋体" w:cs="宋体"/>
          <w:spacing w:val="5"/>
          <w:sz w:val="23"/>
          <w:szCs w:val="23"/>
          <w:highlight w:val="none"/>
        </w:rPr>
        <w:t xml:space="preserve"> </w:t>
      </w:r>
      <w:r>
        <w:rPr>
          <w:rFonts w:ascii="宋体" w:hAnsi="宋体" w:eastAsia="宋体" w:cs="宋体"/>
          <w:spacing w:val="5"/>
          <w:sz w:val="23"/>
          <w:szCs w:val="23"/>
          <w:highlight w:val="none"/>
          <w14:textOutline w14:w="4358" w14:cap="sq" w14:cmpd="sng">
            <w14:solidFill>
              <w14:srgbClr w14:val="000000"/>
            </w14:solidFill>
            <w14:prstDash w14:val="solid"/>
            <w14:bevel/>
          </w14:textOutline>
        </w:rPr>
        <w:t>(评标基准价/投标报价)</w:t>
      </w:r>
      <w:r>
        <w:rPr>
          <w:rFonts w:ascii="宋体" w:hAnsi="宋体" w:eastAsia="宋体" w:cs="宋体"/>
          <w:spacing w:val="5"/>
          <w:sz w:val="23"/>
          <w:szCs w:val="23"/>
          <w:highlight w:val="none"/>
        </w:rPr>
        <w:t xml:space="preserve"> </w:t>
      </w:r>
      <w:r>
        <w:rPr>
          <w:rFonts w:ascii="宋体" w:hAnsi="宋体" w:eastAsia="宋体" w:cs="宋体"/>
          <w:spacing w:val="5"/>
          <w:sz w:val="23"/>
          <w:szCs w:val="23"/>
          <w:highlight w:val="none"/>
          <w14:textOutline w14:w="4358" w14:cap="sq" w14:cmpd="sng">
            <w14:solidFill>
              <w14:srgbClr w14:val="000000"/>
            </w14:solidFill>
            <w14:prstDash w14:val="solid"/>
            <w14:bevel/>
          </w14:textOutline>
        </w:rPr>
        <w:t>×</w:t>
      </w:r>
      <w:r>
        <w:rPr>
          <w:rFonts w:hint="eastAsia" w:ascii="宋体" w:hAnsi="宋体" w:cs="宋体"/>
          <w:spacing w:val="5"/>
          <w:sz w:val="23"/>
          <w:szCs w:val="23"/>
          <w:highlight w:val="none"/>
          <w:lang w:val="en-US" w:eastAsia="zh-CN"/>
          <w14:textOutline w14:w="4358" w14:cap="sq" w14:cmpd="sng">
            <w14:solidFill>
              <w14:srgbClr w14:val="000000"/>
            </w14:solidFill>
            <w14:prstDash w14:val="solid"/>
            <w14:bevel/>
          </w14:textOutline>
        </w:rPr>
        <w:t>5</w:t>
      </w:r>
      <w:r>
        <w:rPr>
          <w:rFonts w:ascii="宋体" w:hAnsi="宋体" w:eastAsia="宋体" w:cs="宋体"/>
          <w:spacing w:val="5"/>
          <w:sz w:val="23"/>
          <w:szCs w:val="23"/>
          <w:highlight w:val="none"/>
          <w14:textOutline w14:w="4358" w14:cap="sq" w14:cmpd="sng">
            <w14:solidFill>
              <w14:srgbClr w14:val="000000"/>
            </w14:solidFill>
            <w14:prstDash w14:val="solid"/>
            <w14:bevel/>
          </w14:textOutline>
        </w:rPr>
        <w:t>%×100，保留小数</w:t>
      </w:r>
      <w:r>
        <w:rPr>
          <w:rFonts w:ascii="宋体" w:hAnsi="宋体" w:eastAsia="宋体" w:cs="宋体"/>
          <w:spacing w:val="5"/>
          <w:sz w:val="23"/>
          <w:szCs w:val="23"/>
          <w:highlight w:val="none"/>
        </w:rPr>
        <w:t xml:space="preserve"> </w:t>
      </w:r>
      <w:r>
        <w:rPr>
          <w:rFonts w:ascii="宋体" w:hAnsi="宋体" w:eastAsia="宋体" w:cs="宋体"/>
          <w:spacing w:val="5"/>
          <w:sz w:val="23"/>
          <w:szCs w:val="23"/>
          <w:highlight w:val="none"/>
          <w14:textOutline w14:w="4358" w14:cap="sq" w14:cmpd="sng">
            <w14:solidFill>
              <w14:srgbClr w14:val="000000"/>
            </w14:solidFill>
            <w14:prstDash w14:val="solid"/>
            <w14:bevel/>
          </w14:textOutline>
        </w:rPr>
        <w:t>2</w:t>
      </w:r>
      <w:r>
        <w:rPr>
          <w:rFonts w:ascii="宋体" w:hAnsi="宋体" w:eastAsia="宋体" w:cs="宋体"/>
          <w:spacing w:val="5"/>
          <w:sz w:val="23"/>
          <w:szCs w:val="23"/>
          <w:highlight w:val="none"/>
        </w:rPr>
        <w:t xml:space="preserve"> </w:t>
      </w:r>
      <w:r>
        <w:rPr>
          <w:rFonts w:ascii="宋体" w:hAnsi="宋体" w:eastAsia="宋体" w:cs="宋体"/>
          <w:spacing w:val="4"/>
          <w:sz w:val="23"/>
          <w:szCs w:val="23"/>
          <w:highlight w:val="none"/>
          <w14:textOutline w14:w="4358" w14:cap="sq" w14:cmpd="sng">
            <w14:solidFill>
              <w14:srgbClr w14:val="000000"/>
            </w14:solidFill>
            <w14:prstDash w14:val="solid"/>
            <w14:bevel/>
          </w14:textOutline>
        </w:rPr>
        <w:t>位</w:t>
      </w:r>
    </w:p>
    <w:p w14:paraId="20E7D237">
      <w:pPr>
        <w:pageBreakBefore w:val="0"/>
        <w:kinsoku/>
        <w:wordWrap/>
        <w:overflowPunct/>
        <w:topLinePunct w:val="0"/>
        <w:autoSpaceDE/>
        <w:autoSpaceDN/>
        <w:bidi w:val="0"/>
        <w:adjustRightInd/>
        <w:snapToGrid/>
        <w:spacing w:before="56" w:line="240" w:lineRule="auto"/>
        <w:ind w:left="144"/>
        <w:textAlignment w:val="auto"/>
        <w:outlineLvl w:val="6"/>
        <w:rPr>
          <w:rFonts w:hint="eastAsia" w:ascii="宋体" w:hAnsi="宋体" w:cs="Times New Roman"/>
          <w:b/>
          <w:color w:val="000000" w:themeColor="text1"/>
          <w:sz w:val="24"/>
          <w:highlight w:val="none"/>
          <w14:textFill>
            <w14:solidFill>
              <w14:schemeClr w14:val="tx1"/>
            </w14:solidFill>
          </w14:textFill>
        </w:rPr>
      </w:pPr>
      <w:r>
        <w:rPr>
          <w:rFonts w:hint="eastAsia" w:ascii="宋体" w:hAnsi="宋体" w:cs="Times New Roman"/>
          <w:b/>
          <w:color w:val="000000" w:themeColor="text1"/>
          <w:sz w:val="24"/>
          <w:highlight w:val="none"/>
          <w14:textFill>
            <w14:solidFill>
              <w14:schemeClr w14:val="tx1"/>
            </w14:solidFill>
          </w14:textFill>
        </w:rPr>
        <w:t>3、投标人的综合得分为以上两部分评分的总和。</w:t>
      </w:r>
    </w:p>
    <w:p w14:paraId="1E9FD634">
      <w:pPr>
        <w:pStyle w:val="24"/>
        <w:pageBreakBefore w:val="0"/>
        <w:kinsoku/>
        <w:wordWrap/>
        <w:overflowPunct/>
        <w:topLinePunct w:val="0"/>
        <w:autoSpaceDE/>
        <w:autoSpaceDN/>
        <w:bidi w:val="0"/>
        <w:adjustRightInd/>
        <w:snapToGrid/>
        <w:spacing w:line="240" w:lineRule="auto"/>
        <w:ind w:left="1349" w:leftChars="26" w:hanging="1294" w:hangingChars="537"/>
        <w:textAlignment w:val="auto"/>
        <w:rPr>
          <w:rFonts w:hint="eastAsia" w:eastAsia="宋体"/>
          <w:sz w:val="24"/>
          <w:szCs w:val="24"/>
          <w:highlight w:val="none"/>
          <w:lang w:eastAsia="zh-CN"/>
        </w:rPr>
      </w:pPr>
      <w:r>
        <w:rPr>
          <w:rFonts w:hint="eastAsia"/>
          <w:sz w:val="24"/>
          <w:szCs w:val="24"/>
          <w:highlight w:val="none"/>
          <w:lang w:val="en-US" w:eastAsia="zh-CN"/>
        </w:rPr>
        <w:t>4</w:t>
      </w:r>
      <w:r>
        <w:rPr>
          <w:sz w:val="24"/>
          <w:szCs w:val="24"/>
          <w:highlight w:val="none"/>
        </w:rPr>
        <w:t>、推荐中标候选人</w:t>
      </w:r>
      <w:r>
        <w:rPr>
          <w:rFonts w:hint="eastAsia"/>
          <w:sz w:val="24"/>
          <w:szCs w:val="24"/>
          <w:highlight w:val="none"/>
          <w:lang w:eastAsia="zh-CN"/>
        </w:rPr>
        <w:t>。</w:t>
      </w:r>
    </w:p>
    <w:p w14:paraId="27E04145">
      <w:pPr>
        <w:pageBreakBefore w:val="0"/>
        <w:kinsoku/>
        <w:wordWrap/>
        <w:overflowPunct/>
        <w:topLinePunct w:val="0"/>
        <w:autoSpaceDE/>
        <w:autoSpaceDN/>
        <w:bidi w:val="0"/>
        <w:adjustRightInd/>
        <w:snapToGrid/>
        <w:spacing w:line="240" w:lineRule="auto"/>
        <w:ind w:firstLine="480" w:firstLineChars="200"/>
        <w:textAlignment w:val="auto"/>
        <w:rPr>
          <w:rFonts w:hint="eastAsia" w:eastAsia="宋体"/>
          <w:highlight w:val="none"/>
          <w:lang w:val="en-US" w:eastAsia="zh-CN"/>
        </w:rPr>
        <w:sectPr>
          <w:footerReference r:id="rId5" w:type="default"/>
          <w:pgSz w:w="11906" w:h="16839"/>
          <w:pgMar w:top="1134" w:right="879" w:bottom="844" w:left="1117" w:header="0" w:footer="684" w:gutter="0"/>
          <w:pgBorders>
            <w:top w:val="none" w:sz="0" w:space="0"/>
            <w:left w:val="none" w:sz="0" w:space="0"/>
            <w:bottom w:val="none" w:sz="0" w:space="0"/>
            <w:right w:val="none" w:sz="0" w:space="0"/>
          </w:pgBorders>
          <w:cols w:space="720" w:num="1"/>
        </w:sectPr>
      </w:pPr>
      <w:r>
        <w:rPr>
          <w:sz w:val="24"/>
          <w:highlight w:val="none"/>
        </w:rPr>
        <w:t>评标</w:t>
      </w:r>
      <w:r>
        <w:rPr>
          <w:rFonts w:hint="eastAsia"/>
          <w:sz w:val="24"/>
          <w:highlight w:val="none"/>
          <w:lang w:val="en-US" w:eastAsia="zh-CN"/>
        </w:rPr>
        <w:t>小组</w:t>
      </w:r>
      <w:r>
        <w:rPr>
          <w:sz w:val="24"/>
          <w:highlight w:val="none"/>
        </w:rPr>
        <w:t>完成评标后，按总得分由高到低排定顺序</w:t>
      </w:r>
      <w:r>
        <w:rPr>
          <w:rFonts w:hint="eastAsia"/>
          <w:sz w:val="24"/>
          <w:highlight w:val="none"/>
          <w:lang w:eastAsia="zh-CN"/>
        </w:rPr>
        <w:t>，</w:t>
      </w:r>
      <w:r>
        <w:rPr>
          <w:rFonts w:ascii="宋体" w:hAnsi="宋体" w:eastAsia="宋体" w:cs="宋体"/>
          <w:spacing w:val="7"/>
          <w:sz w:val="24"/>
          <w:szCs w:val="24"/>
          <w:highlight w:val="none"/>
        </w:rPr>
        <w:t>由得分从高到低推荐</w:t>
      </w:r>
      <w:r>
        <w:rPr>
          <w:rFonts w:hint="eastAsia" w:ascii="宋体" w:hAnsi="宋体" w:cs="宋体"/>
          <w:spacing w:val="7"/>
          <w:sz w:val="24"/>
          <w:szCs w:val="24"/>
          <w:highlight w:val="none"/>
          <w:lang w:val="en-US" w:eastAsia="zh-CN"/>
        </w:rPr>
        <w:t>第一</w:t>
      </w:r>
      <w:r>
        <w:rPr>
          <w:rFonts w:ascii="宋体" w:hAnsi="宋体" w:eastAsia="宋体" w:cs="宋体"/>
          <w:spacing w:val="7"/>
          <w:sz w:val="24"/>
          <w:szCs w:val="24"/>
          <w:highlight w:val="none"/>
        </w:rPr>
        <w:t>名为中标候</w:t>
      </w:r>
      <w:r>
        <w:rPr>
          <w:rFonts w:hint="eastAsia" w:ascii="宋体" w:hAnsi="宋体" w:cs="宋体"/>
          <w:spacing w:val="7"/>
          <w:sz w:val="24"/>
          <w:szCs w:val="24"/>
          <w:highlight w:val="none"/>
          <w:lang w:val="en-US" w:eastAsia="zh-CN"/>
        </w:rPr>
        <w:t>选人。</w:t>
      </w:r>
    </w:p>
    <w:bookmarkEnd w:id="0"/>
    <w:p w14:paraId="15FB5998">
      <w:pPr>
        <w:pStyle w:val="8"/>
        <w:snapToGrid w:val="0"/>
        <w:spacing w:beforeLines="0" w:afterLines="0" w:line="240" w:lineRule="auto"/>
        <w:jc w:val="left"/>
        <w:rPr>
          <w:rFonts w:hint="default" w:hAnsi="宋体"/>
          <w:b/>
          <w:color w:val="000000" w:themeColor="text1"/>
          <w:sz w:val="30"/>
          <w:szCs w:val="30"/>
          <w:highlight w:val="none"/>
          <w:lang w:val="en-US" w:eastAsia="zh-CN"/>
          <w14:textFill>
            <w14:solidFill>
              <w14:schemeClr w14:val="tx1"/>
            </w14:solidFill>
          </w14:textFill>
        </w:rPr>
      </w:pPr>
      <w:r>
        <w:rPr>
          <w:rFonts w:hint="eastAsia" w:hAnsi="宋体"/>
          <w:b/>
          <w:color w:val="000000" w:themeColor="text1"/>
          <w:sz w:val="30"/>
          <w:szCs w:val="30"/>
          <w:highlight w:val="none"/>
          <w:lang w:val="en-US" w:eastAsia="zh-CN"/>
          <w14:textFill>
            <w14:solidFill>
              <w14:schemeClr w14:val="tx1"/>
            </w14:solidFill>
          </w14:textFill>
        </w:rPr>
        <w:t>附件1</w:t>
      </w:r>
    </w:p>
    <w:p w14:paraId="207EF922">
      <w:pPr>
        <w:pStyle w:val="8"/>
        <w:snapToGrid w:val="0"/>
        <w:spacing w:beforeLines="0" w:afterLines="0" w:line="240" w:lineRule="auto"/>
        <w:jc w:val="center"/>
        <w:rPr>
          <w:rFonts w:hint="default" w:hAnsi="宋体" w:eastAsia="宋体"/>
          <w:b/>
          <w:color w:val="000000" w:themeColor="text1"/>
          <w:sz w:val="30"/>
          <w:szCs w:val="30"/>
          <w:highlight w:val="none"/>
          <w:lang w:val="en-US" w:eastAsia="zh-CN"/>
          <w14:textFill>
            <w14:solidFill>
              <w14:schemeClr w14:val="tx1"/>
            </w14:solidFill>
          </w14:textFill>
        </w:rPr>
      </w:pPr>
      <w:r>
        <w:rPr>
          <w:rFonts w:hint="eastAsia" w:hAnsi="宋体"/>
          <w:b/>
          <w:color w:val="000000" w:themeColor="text1"/>
          <w:sz w:val="30"/>
          <w:szCs w:val="30"/>
          <w:highlight w:val="none"/>
          <w:lang w:val="en-US" w:eastAsia="zh-CN"/>
          <w14:textFill>
            <w14:solidFill>
              <w14:schemeClr w14:val="tx1"/>
            </w14:solidFill>
          </w14:textFill>
        </w:rPr>
        <w:t>报价一览表</w:t>
      </w:r>
    </w:p>
    <w:tbl>
      <w:tblPr>
        <w:tblStyle w:val="13"/>
        <w:tblpPr w:leftFromText="180" w:rightFromText="180" w:vertAnchor="text" w:horzAnchor="margin" w:tblpXSpec="center" w:tblpY="1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4"/>
        <w:gridCol w:w="2413"/>
        <w:gridCol w:w="2622"/>
      </w:tblGrid>
      <w:tr w14:paraId="353D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trPr>
        <w:tc>
          <w:tcPr>
            <w:tcW w:w="3344" w:type="dxa"/>
            <w:tcBorders>
              <w:top w:val="single" w:color="auto" w:sz="4" w:space="0"/>
              <w:left w:val="single" w:color="auto" w:sz="4" w:space="0"/>
              <w:right w:val="single" w:color="auto" w:sz="4" w:space="0"/>
            </w:tcBorders>
            <w:noWrap w:val="0"/>
            <w:vAlign w:val="center"/>
          </w:tcPr>
          <w:p w14:paraId="759276AA">
            <w:pPr>
              <w:widowControl/>
              <w:spacing w:line="480" w:lineRule="atLeast"/>
              <w:jc w:val="center"/>
              <w:rPr>
                <w:b/>
                <w:bCs/>
                <w:kern w:val="0"/>
                <w:sz w:val="24"/>
                <w:szCs w:val="20"/>
                <w:highlight w:val="none"/>
              </w:rPr>
            </w:pPr>
            <w:r>
              <w:rPr>
                <w:b/>
                <w:bCs/>
                <w:kern w:val="0"/>
                <w:sz w:val="24"/>
                <w:szCs w:val="20"/>
                <w:highlight w:val="none"/>
              </w:rPr>
              <w:t>名称</w:t>
            </w:r>
          </w:p>
        </w:tc>
        <w:tc>
          <w:tcPr>
            <w:tcW w:w="2413" w:type="dxa"/>
            <w:tcBorders>
              <w:top w:val="single" w:color="auto" w:sz="4" w:space="0"/>
              <w:left w:val="single" w:color="auto" w:sz="4" w:space="0"/>
              <w:right w:val="single" w:color="auto" w:sz="4" w:space="0"/>
            </w:tcBorders>
            <w:noWrap w:val="0"/>
            <w:vAlign w:val="center"/>
          </w:tcPr>
          <w:p w14:paraId="4602B7AF">
            <w:pPr>
              <w:widowControl/>
              <w:spacing w:line="480" w:lineRule="atLeast"/>
              <w:jc w:val="center"/>
              <w:rPr>
                <w:rFonts w:hint="eastAsia" w:eastAsia="宋体"/>
                <w:b/>
                <w:bCs/>
                <w:kern w:val="0"/>
                <w:sz w:val="24"/>
                <w:szCs w:val="20"/>
                <w:highlight w:val="none"/>
                <w:lang w:eastAsia="zh-CN"/>
              </w:rPr>
            </w:pPr>
            <w:r>
              <w:rPr>
                <w:rFonts w:hint="eastAsia"/>
                <w:b/>
                <w:bCs/>
                <w:kern w:val="0"/>
                <w:sz w:val="24"/>
                <w:szCs w:val="20"/>
                <w:highlight w:val="none"/>
                <w:lang w:val="en-US" w:eastAsia="zh-CN"/>
              </w:rPr>
              <w:t>项目</w:t>
            </w:r>
          </w:p>
        </w:tc>
        <w:tc>
          <w:tcPr>
            <w:tcW w:w="2622" w:type="dxa"/>
            <w:tcBorders>
              <w:top w:val="single" w:color="auto" w:sz="4" w:space="0"/>
              <w:left w:val="single" w:color="auto" w:sz="4" w:space="0"/>
              <w:right w:val="single" w:color="auto" w:sz="4" w:space="0"/>
            </w:tcBorders>
            <w:noWrap w:val="0"/>
            <w:vAlign w:val="center"/>
          </w:tcPr>
          <w:p w14:paraId="76970C1C">
            <w:pPr>
              <w:widowControl/>
              <w:spacing w:line="480" w:lineRule="atLeast"/>
              <w:jc w:val="center"/>
              <w:rPr>
                <w:rFonts w:hint="eastAsia" w:eastAsia="宋体"/>
                <w:b/>
                <w:bCs/>
                <w:kern w:val="0"/>
                <w:sz w:val="24"/>
                <w:szCs w:val="20"/>
                <w:highlight w:val="none"/>
                <w:lang w:eastAsia="zh-CN"/>
              </w:rPr>
            </w:pPr>
            <w:r>
              <w:rPr>
                <w:rFonts w:hint="eastAsia"/>
                <w:b/>
                <w:bCs/>
                <w:kern w:val="0"/>
                <w:szCs w:val="20"/>
                <w:highlight w:val="none"/>
                <w:lang w:val="en-US" w:eastAsia="zh-CN"/>
              </w:rPr>
              <w:t>报价</w:t>
            </w:r>
          </w:p>
        </w:tc>
      </w:tr>
      <w:tr w14:paraId="40A8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exact"/>
        </w:trPr>
        <w:tc>
          <w:tcPr>
            <w:tcW w:w="3344" w:type="dxa"/>
            <w:vMerge w:val="restart"/>
            <w:tcBorders>
              <w:top w:val="single" w:color="auto" w:sz="4" w:space="0"/>
              <w:left w:val="single" w:color="auto" w:sz="4" w:space="0"/>
              <w:right w:val="single" w:color="auto" w:sz="4" w:space="0"/>
            </w:tcBorders>
            <w:noWrap w:val="0"/>
            <w:vAlign w:val="center"/>
          </w:tcPr>
          <w:p w14:paraId="22A8FBE2">
            <w:pPr>
              <w:widowControl/>
              <w:spacing w:line="397" w:lineRule="exact"/>
              <w:jc w:val="center"/>
              <w:rPr>
                <w:rFonts w:hint="default" w:eastAsia="宋体"/>
                <w:kern w:val="0"/>
                <w:sz w:val="24"/>
                <w:szCs w:val="20"/>
                <w:highlight w:val="none"/>
                <w:lang w:val="en-US" w:eastAsia="zh-CN"/>
              </w:rPr>
            </w:pPr>
            <w:r>
              <w:rPr>
                <w:rFonts w:hint="eastAsia" w:ascii="Times New Roman" w:hAnsi="Times New Roman" w:cs="Times New Roman"/>
                <w:sz w:val="24"/>
                <w:highlight w:val="none"/>
                <w:lang w:val="en-US" w:eastAsia="zh-CN"/>
              </w:rPr>
              <w:t>义乌市中心医院快递服务一体化合作项目</w:t>
            </w:r>
          </w:p>
        </w:tc>
        <w:tc>
          <w:tcPr>
            <w:tcW w:w="2413" w:type="dxa"/>
            <w:tcBorders>
              <w:top w:val="single" w:color="auto" w:sz="4" w:space="0"/>
              <w:left w:val="single" w:color="auto" w:sz="4" w:space="0"/>
              <w:bottom w:val="single" w:color="auto" w:sz="4" w:space="0"/>
              <w:right w:val="single" w:color="auto" w:sz="4" w:space="0"/>
            </w:tcBorders>
            <w:noWrap w:val="0"/>
            <w:vAlign w:val="center"/>
          </w:tcPr>
          <w:p w14:paraId="3540EF29">
            <w:pPr>
              <w:widowControl/>
              <w:spacing w:line="480" w:lineRule="atLeast"/>
              <w:jc w:val="center"/>
              <w:rPr>
                <w:rFonts w:hint="default" w:eastAsia="宋体"/>
                <w:kern w:val="0"/>
                <w:sz w:val="1"/>
                <w:szCs w:val="20"/>
                <w:highlight w:val="none"/>
                <w:lang w:val="en-US" w:eastAsia="zh-CN"/>
              </w:rPr>
            </w:pPr>
            <w:r>
              <w:rPr>
                <w:rFonts w:hint="eastAsia"/>
                <w:kern w:val="0"/>
                <w:sz w:val="28"/>
                <w:szCs w:val="28"/>
                <w:highlight w:val="none"/>
                <w:lang w:val="en-US" w:eastAsia="zh-CN"/>
              </w:rPr>
              <w:t>第三方快递入站</w:t>
            </w:r>
          </w:p>
        </w:tc>
        <w:tc>
          <w:tcPr>
            <w:tcW w:w="2622" w:type="dxa"/>
            <w:tcBorders>
              <w:top w:val="single" w:color="auto" w:sz="4" w:space="0"/>
              <w:left w:val="single" w:color="auto" w:sz="4" w:space="0"/>
              <w:bottom w:val="single" w:color="auto" w:sz="4" w:space="0"/>
              <w:right w:val="single" w:color="auto" w:sz="4" w:space="0"/>
            </w:tcBorders>
            <w:noWrap w:val="0"/>
            <w:vAlign w:val="center"/>
          </w:tcPr>
          <w:p w14:paraId="1FCB9DA3">
            <w:pPr>
              <w:widowControl/>
              <w:spacing w:line="480" w:lineRule="atLeast"/>
              <w:jc w:val="right"/>
              <w:rPr>
                <w:rFonts w:hint="eastAsia" w:eastAsia="宋体"/>
                <w:kern w:val="0"/>
                <w:sz w:val="28"/>
                <w:szCs w:val="28"/>
                <w:highlight w:val="none"/>
                <w:lang w:eastAsia="zh-CN"/>
              </w:rPr>
            </w:pPr>
            <w:r>
              <w:rPr>
                <w:rFonts w:hint="eastAsia"/>
                <w:kern w:val="0"/>
                <w:sz w:val="28"/>
                <w:szCs w:val="28"/>
                <w:highlight w:val="none"/>
                <w:lang w:eastAsia="zh-CN"/>
              </w:rPr>
              <w:t>（</w:t>
            </w:r>
            <w:r>
              <w:rPr>
                <w:rFonts w:hint="eastAsia"/>
                <w:kern w:val="0"/>
                <w:sz w:val="28"/>
                <w:szCs w:val="28"/>
                <w:highlight w:val="none"/>
                <w:lang w:val="en-US" w:eastAsia="zh-CN"/>
              </w:rPr>
              <w:t>元</w:t>
            </w:r>
            <w:r>
              <w:rPr>
                <w:rFonts w:hint="eastAsia"/>
                <w:kern w:val="0"/>
                <w:sz w:val="28"/>
                <w:szCs w:val="28"/>
                <w:highlight w:val="none"/>
                <w:lang w:eastAsia="zh-CN"/>
              </w:rPr>
              <w:t>）</w:t>
            </w:r>
          </w:p>
        </w:tc>
      </w:tr>
      <w:tr w14:paraId="0B86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exact"/>
        </w:trPr>
        <w:tc>
          <w:tcPr>
            <w:tcW w:w="3344" w:type="dxa"/>
            <w:vMerge w:val="continue"/>
            <w:tcBorders>
              <w:left w:val="single" w:color="auto" w:sz="4" w:space="0"/>
              <w:bottom w:val="single" w:color="auto" w:sz="4" w:space="0"/>
              <w:right w:val="single" w:color="auto" w:sz="4" w:space="0"/>
            </w:tcBorders>
            <w:noWrap w:val="0"/>
            <w:vAlign w:val="center"/>
          </w:tcPr>
          <w:p w14:paraId="5BAEE5F5">
            <w:pPr>
              <w:widowControl/>
              <w:spacing w:line="397" w:lineRule="exact"/>
              <w:jc w:val="center"/>
              <w:rPr>
                <w:rFonts w:hint="eastAsia" w:ascii="Times New Roman" w:hAnsi="Times New Roman" w:eastAsia="宋体" w:cs="Times New Roman"/>
                <w:sz w:val="24"/>
                <w:highlight w:val="none"/>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60ABEF6A">
            <w:pPr>
              <w:widowControl/>
              <w:spacing w:line="480" w:lineRule="atLeast"/>
              <w:jc w:val="center"/>
              <w:rPr>
                <w:rFonts w:hint="default"/>
                <w:sz w:val="24"/>
                <w:highlight w:val="none"/>
                <w:lang w:val="en-US" w:eastAsia="zh-CN"/>
              </w:rPr>
            </w:pPr>
            <w:r>
              <w:rPr>
                <w:rFonts w:hint="eastAsia"/>
                <w:sz w:val="24"/>
                <w:highlight w:val="none"/>
                <w:lang w:val="en-US" w:eastAsia="zh-CN"/>
              </w:rPr>
              <w:t>快递</w:t>
            </w:r>
          </w:p>
        </w:tc>
        <w:tc>
          <w:tcPr>
            <w:tcW w:w="2622" w:type="dxa"/>
            <w:tcBorders>
              <w:top w:val="single" w:color="auto" w:sz="4" w:space="0"/>
              <w:left w:val="single" w:color="auto" w:sz="4" w:space="0"/>
              <w:bottom w:val="single" w:color="auto" w:sz="4" w:space="0"/>
              <w:right w:val="single" w:color="auto" w:sz="4" w:space="0"/>
            </w:tcBorders>
            <w:noWrap w:val="0"/>
            <w:vAlign w:val="center"/>
          </w:tcPr>
          <w:p w14:paraId="093CFDFF">
            <w:pPr>
              <w:widowControl/>
              <w:spacing w:line="480" w:lineRule="atLeast"/>
              <w:jc w:val="right"/>
              <w:rPr>
                <w:rFonts w:hint="eastAsia" w:eastAsia="宋体"/>
                <w:kern w:val="0"/>
                <w:sz w:val="28"/>
                <w:szCs w:val="28"/>
                <w:highlight w:val="none"/>
                <w:lang w:eastAsia="zh-CN"/>
              </w:rPr>
            </w:pPr>
            <w:r>
              <w:rPr>
                <w:rFonts w:hint="eastAsia"/>
                <w:kern w:val="0"/>
                <w:sz w:val="28"/>
                <w:szCs w:val="28"/>
                <w:highlight w:val="none"/>
                <w:lang w:eastAsia="zh-CN"/>
              </w:rPr>
              <w:t>（</w:t>
            </w:r>
            <w:r>
              <w:rPr>
                <w:rFonts w:hint="eastAsia"/>
                <w:kern w:val="0"/>
                <w:sz w:val="28"/>
                <w:szCs w:val="28"/>
                <w:highlight w:val="none"/>
                <w:lang w:val="en-US" w:eastAsia="zh-CN"/>
              </w:rPr>
              <w:t>%折扣</w:t>
            </w:r>
            <w:r>
              <w:rPr>
                <w:rFonts w:hint="eastAsia"/>
                <w:kern w:val="0"/>
                <w:sz w:val="28"/>
                <w:szCs w:val="28"/>
                <w:highlight w:val="none"/>
                <w:lang w:eastAsia="zh-CN"/>
              </w:rPr>
              <w:t>）</w:t>
            </w:r>
          </w:p>
        </w:tc>
      </w:tr>
      <w:tr w14:paraId="6860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8379" w:type="dxa"/>
            <w:gridSpan w:val="3"/>
            <w:tcBorders>
              <w:top w:val="single" w:color="auto" w:sz="4" w:space="0"/>
              <w:left w:val="single" w:color="auto" w:sz="4" w:space="0"/>
              <w:bottom w:val="single" w:color="auto" w:sz="4" w:space="0"/>
              <w:right w:val="single" w:color="auto" w:sz="4" w:space="0"/>
            </w:tcBorders>
            <w:noWrap w:val="0"/>
            <w:vAlign w:val="top"/>
          </w:tcPr>
          <w:p w14:paraId="70048671">
            <w:pPr>
              <w:widowControl/>
              <w:spacing w:line="360" w:lineRule="auto"/>
              <w:ind w:firstLine="120" w:firstLineChars="50"/>
              <w:jc w:val="left"/>
              <w:rPr>
                <w:kern w:val="0"/>
                <w:sz w:val="24"/>
                <w:highlight w:val="none"/>
              </w:rPr>
            </w:pPr>
          </w:p>
          <w:p w14:paraId="720BA2E3">
            <w:pPr>
              <w:widowControl/>
              <w:spacing w:line="360" w:lineRule="auto"/>
              <w:ind w:left="180"/>
              <w:jc w:val="left"/>
              <w:rPr>
                <w:rFonts w:hint="eastAsia" w:eastAsia="宋体"/>
                <w:kern w:val="0"/>
                <w:sz w:val="24"/>
                <w:highlight w:val="none"/>
                <w:lang w:eastAsia="zh-CN"/>
              </w:rPr>
            </w:pPr>
            <w:r>
              <w:rPr>
                <w:rFonts w:hint="eastAsia"/>
                <w:kern w:val="0"/>
                <w:sz w:val="24"/>
                <w:highlight w:val="none"/>
                <w:lang w:val="en-US" w:eastAsia="zh-CN"/>
              </w:rPr>
              <w:t>备注：</w:t>
            </w:r>
          </w:p>
        </w:tc>
      </w:tr>
    </w:tbl>
    <w:p w14:paraId="25A8E0AD">
      <w:pPr>
        <w:spacing w:line="400" w:lineRule="exact"/>
        <w:rPr>
          <w:rFonts w:hint="eastAsia" w:ascii="宋体" w:hAnsi="宋体"/>
          <w:color w:val="000000" w:themeColor="text1"/>
          <w:sz w:val="24"/>
          <w:highlight w:val="none"/>
          <w14:textFill>
            <w14:solidFill>
              <w14:schemeClr w14:val="tx1"/>
            </w14:solidFill>
          </w14:textFill>
        </w:rPr>
      </w:pPr>
    </w:p>
    <w:p w14:paraId="3A48E010">
      <w:pPr>
        <w:spacing w:line="4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r>
        <w:rPr>
          <w:rFonts w:ascii="宋体" w:hAnsi="宋体"/>
          <w:color w:val="000000" w:themeColor="text1"/>
          <w:sz w:val="24"/>
          <w:highlight w:val="none"/>
          <w14:textFill>
            <w14:solidFill>
              <w14:schemeClr w14:val="tx1"/>
            </w14:solidFill>
          </w14:textFill>
        </w:rPr>
        <w:t>: 1</w:t>
      </w:r>
      <w:r>
        <w:rPr>
          <w:rFonts w:hint="eastAsia" w:ascii="宋体" w:hAnsi="宋体"/>
          <w:color w:val="000000" w:themeColor="text1"/>
          <w:sz w:val="24"/>
          <w:highlight w:val="none"/>
          <w14:textFill>
            <w14:solidFill>
              <w14:schemeClr w14:val="tx1"/>
            </w14:solidFill>
          </w14:textFill>
        </w:rPr>
        <w:t>、报价一经涂改，应在涂改处加盖单位公章或者由法定代表人或授权委托人签字或盖章，否则其投标作无效标处理。</w:t>
      </w:r>
    </w:p>
    <w:p w14:paraId="5E93AE97">
      <w:pPr>
        <w:spacing w:line="4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w:t>
      </w:r>
      <w:r>
        <w:rPr>
          <w:rFonts w:ascii="宋体" w:hAnsi="宋体"/>
          <w:color w:val="000000" w:themeColor="text1"/>
          <w:sz w:val="24"/>
          <w:highlight w:val="none"/>
          <w14:textFill>
            <w14:solidFill>
              <w14:schemeClr w14:val="tx1"/>
            </w14:solidFill>
          </w14:textFill>
        </w:rPr>
        <w:t>投标报价是履行合同的最终价格，应包括</w:t>
      </w:r>
      <w:r>
        <w:rPr>
          <w:rFonts w:hint="eastAsia" w:ascii="宋体" w:hAnsi="宋体"/>
          <w:color w:val="000000" w:themeColor="text1"/>
          <w:sz w:val="24"/>
          <w:highlight w:val="none"/>
          <w14:textFill>
            <w14:solidFill>
              <w14:schemeClr w14:val="tx1"/>
            </w14:solidFill>
          </w14:textFill>
        </w:rPr>
        <w:t>运维人员工资、社保、技术指导、售后服务、税金、利润等完成本项目服务的所有费用。投标人的报价如有缺漏项，也将被视为投标优惠，已包含在总价范围内。</w:t>
      </w:r>
    </w:p>
    <w:p w14:paraId="5E7E8A6F">
      <w:pPr>
        <w:pStyle w:val="2"/>
        <w:numPr>
          <w:ilvl w:val="0"/>
          <w:numId w:val="0"/>
        </w:numPr>
        <w:outlineLvl w:val="0"/>
        <w:rPr>
          <w:color w:val="000000" w:themeColor="text1"/>
          <w:highlight w:val="none"/>
          <w14:textFill>
            <w14:solidFill>
              <w14:schemeClr w14:val="tx1"/>
            </w14:solidFill>
          </w14:textFill>
        </w:rPr>
      </w:pPr>
    </w:p>
    <w:p w14:paraId="205C1CA5">
      <w:pPr>
        <w:snapToGrid w:val="0"/>
        <w:spacing w:before="50" w:after="50"/>
        <w:ind w:left="-3" w:leftChars="-72" w:right="-817" w:rightChars="-389" w:hanging="148" w:hangingChars="62"/>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投标人名称（盖章）：</w:t>
      </w:r>
    </w:p>
    <w:p w14:paraId="38627696">
      <w:pPr>
        <w:snapToGrid w:val="0"/>
        <w:spacing w:before="50" w:after="50"/>
        <w:ind w:firstLine="480" w:firstLineChars="200"/>
        <w:rPr>
          <w:rFonts w:ascii="宋体" w:hAnsi="宋体"/>
          <w:color w:val="000000" w:themeColor="text1"/>
          <w:sz w:val="24"/>
          <w:szCs w:val="20"/>
          <w:highlight w:val="none"/>
          <w14:textFill>
            <w14:solidFill>
              <w14:schemeClr w14:val="tx1"/>
            </w14:solidFill>
          </w14:textFill>
        </w:rPr>
      </w:pPr>
    </w:p>
    <w:p w14:paraId="26EB378A">
      <w:pPr>
        <w:snapToGrid w:val="0"/>
        <w:spacing w:before="50" w:after="50"/>
        <w:ind w:left="-3" w:leftChars="-72" w:right="-817" w:rightChars="-389" w:hanging="148" w:hangingChars="62"/>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法定代表人或授权代表（签字）：</w:t>
      </w:r>
    </w:p>
    <w:p w14:paraId="05AF8D7B">
      <w:pPr>
        <w:snapToGrid w:val="0"/>
        <w:spacing w:before="50" w:after="50"/>
        <w:ind w:left="-3" w:leftChars="-72" w:right="-817" w:rightChars="-389" w:hanging="148" w:hangingChars="62"/>
        <w:jc w:val="center"/>
        <w:rPr>
          <w:rFonts w:hint="eastAsia" w:ascii="宋体" w:hAnsi="宋体"/>
          <w:color w:val="000000" w:themeColor="text1"/>
          <w:sz w:val="24"/>
          <w:highlight w:val="none"/>
          <w:lang w:val="en-US" w:eastAsia="zh-CN"/>
          <w14:textFill>
            <w14:solidFill>
              <w14:schemeClr w14:val="tx1"/>
            </w14:solidFill>
          </w14:textFill>
        </w:rPr>
      </w:pPr>
    </w:p>
    <w:p w14:paraId="27C7FAA8">
      <w:pPr>
        <w:snapToGrid w:val="0"/>
        <w:spacing w:before="50" w:after="50"/>
        <w:ind w:left="88" w:leftChars="42" w:right="-817" w:rightChars="-389" w:firstLine="3681" w:firstLineChars="1534"/>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联系方式：</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p>
    <w:p w14:paraId="623AB384">
      <w:pPr>
        <w:snapToGrid w:val="0"/>
        <w:spacing w:before="50" w:after="50"/>
        <w:ind w:left="-3" w:leftChars="-72" w:right="-817" w:rightChars="-389" w:hanging="148" w:hangingChars="62"/>
        <w:jc w:val="center"/>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p>
    <w:p w14:paraId="5F7740EB">
      <w:pPr>
        <w:snapToGrid w:val="0"/>
        <w:spacing w:before="50" w:after="50"/>
        <w:ind w:left="-3" w:leftChars="-72" w:right="-817" w:rightChars="-389" w:hanging="148" w:hangingChars="62"/>
        <w:jc w:val="center"/>
        <w:rPr>
          <w:color w:val="000000" w:themeColor="text1"/>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日期：</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2C23E261">
      <w:pPr>
        <w:rPr>
          <w:rFonts w:hint="eastAsia" w:eastAsia="宋体"/>
          <w:highlight w:val="none"/>
          <w:lang w:val="en-US" w:eastAsia="zh-CN"/>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创艺简标宋">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7327">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- 39 -</w:t>
    </w:r>
    <w:r>
      <w:fldChar w:fldCharType="end"/>
    </w:r>
  </w:p>
  <w:p w14:paraId="47F4A208">
    <w:pPr>
      <w:pStyle w:val="9"/>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63CB1">
    <w:pPr>
      <w:spacing w:line="196" w:lineRule="auto"/>
      <w:ind w:left="4767"/>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F416C">
    <w:pPr>
      <w:pStyle w:val="10"/>
      <w:pBdr>
        <w:bottom w:val="none" w:color="auto" w:sz="0" w:space="1"/>
      </w:pBd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FCE78"/>
    <w:multiLevelType w:val="singleLevel"/>
    <w:tmpl w:val="B72FCE78"/>
    <w:lvl w:ilvl="0" w:tentative="0">
      <w:start w:val="2"/>
      <w:numFmt w:val="decimal"/>
      <w:suff w:val="nothing"/>
      <w:lvlText w:val="%1、"/>
      <w:lvlJc w:val="left"/>
    </w:lvl>
  </w:abstractNum>
  <w:abstractNum w:abstractNumId="1">
    <w:nsid w:val="C433E2BD"/>
    <w:multiLevelType w:val="singleLevel"/>
    <w:tmpl w:val="C433E2BD"/>
    <w:lvl w:ilvl="0" w:tentative="0">
      <w:start w:val="8"/>
      <w:numFmt w:val="chineseCounting"/>
      <w:suff w:val="nothing"/>
      <w:lvlText w:val="%1、"/>
      <w:lvlJc w:val="left"/>
      <w:rPr>
        <w:rFonts w:hint="eastAsia"/>
      </w:rPr>
    </w:lvl>
  </w:abstractNum>
  <w:abstractNum w:abstractNumId="2">
    <w:nsid w:val="2DC42501"/>
    <w:multiLevelType w:val="singleLevel"/>
    <w:tmpl w:val="2DC42501"/>
    <w:lvl w:ilvl="0" w:tentative="0">
      <w:start w:val="2"/>
      <w:numFmt w:val="chineseCounting"/>
      <w:suff w:val="nothing"/>
      <w:lvlText w:val="%1、"/>
      <w:lvlJc w:val="left"/>
      <w:rPr>
        <w:rFonts w:hint="eastAsia"/>
      </w:rPr>
    </w:lvl>
  </w:abstractNum>
  <w:abstractNum w:abstractNumId="3">
    <w:nsid w:val="763060DB"/>
    <w:multiLevelType w:val="multilevel"/>
    <w:tmpl w:val="763060DB"/>
    <w:lvl w:ilvl="0" w:tentative="0">
      <w:start w:val="1"/>
      <w:numFmt w:val="japaneseCounting"/>
      <w:lvlText w:val="第%1章"/>
      <w:lvlJc w:val="left"/>
      <w:pPr>
        <w:tabs>
          <w:tab w:val="left" w:pos="2715"/>
        </w:tabs>
        <w:ind w:left="2715" w:hanging="1275"/>
      </w:pPr>
      <w:rPr>
        <w:rFonts w:hint="eastAsia"/>
      </w:rPr>
    </w:lvl>
    <w:lvl w:ilvl="1" w:tentative="0">
      <w:start w:val="1"/>
      <w:numFmt w:val="japaneseCounting"/>
      <w:lvlText w:val="%2、"/>
      <w:lvlJc w:val="left"/>
      <w:pPr>
        <w:tabs>
          <w:tab w:val="left" w:pos="2580"/>
        </w:tabs>
        <w:ind w:left="2580" w:hanging="720"/>
      </w:pPr>
      <w:rPr>
        <w:rFonts w:hint="eastAsia"/>
      </w:rPr>
    </w:lvl>
    <w:lvl w:ilvl="2" w:tentative="0">
      <w:start w:val="1"/>
      <w:numFmt w:val="lowerRoman"/>
      <w:lvlText w:val="%3."/>
      <w:lvlJc w:val="right"/>
      <w:pPr>
        <w:tabs>
          <w:tab w:val="left" w:pos="2700"/>
        </w:tabs>
        <w:ind w:left="2700" w:hanging="420"/>
      </w:pPr>
    </w:lvl>
    <w:lvl w:ilvl="3" w:tentative="0">
      <w:start w:val="1"/>
      <w:numFmt w:val="decimal"/>
      <w:lvlText w:val="%4."/>
      <w:lvlJc w:val="left"/>
      <w:pPr>
        <w:tabs>
          <w:tab w:val="left" w:pos="3120"/>
        </w:tabs>
        <w:ind w:left="3120" w:hanging="420"/>
      </w:pPr>
    </w:lvl>
    <w:lvl w:ilvl="4" w:tentative="0">
      <w:start w:val="1"/>
      <w:numFmt w:val="lowerLetter"/>
      <w:lvlText w:val="%5)"/>
      <w:lvlJc w:val="left"/>
      <w:pPr>
        <w:tabs>
          <w:tab w:val="left" w:pos="3540"/>
        </w:tabs>
        <w:ind w:left="3540" w:hanging="420"/>
      </w:pPr>
    </w:lvl>
    <w:lvl w:ilvl="5" w:tentative="0">
      <w:start w:val="1"/>
      <w:numFmt w:val="lowerRoman"/>
      <w:lvlText w:val="%6."/>
      <w:lvlJc w:val="right"/>
      <w:pPr>
        <w:tabs>
          <w:tab w:val="left" w:pos="3960"/>
        </w:tabs>
        <w:ind w:left="3960" w:hanging="420"/>
      </w:pPr>
    </w:lvl>
    <w:lvl w:ilvl="6" w:tentative="0">
      <w:start w:val="1"/>
      <w:numFmt w:val="decimal"/>
      <w:lvlText w:val="%7."/>
      <w:lvlJc w:val="left"/>
      <w:pPr>
        <w:tabs>
          <w:tab w:val="left" w:pos="4380"/>
        </w:tabs>
        <w:ind w:left="4380" w:hanging="420"/>
      </w:pPr>
    </w:lvl>
    <w:lvl w:ilvl="7" w:tentative="0">
      <w:start w:val="1"/>
      <w:numFmt w:val="lowerLetter"/>
      <w:lvlText w:val="%8)"/>
      <w:lvlJc w:val="left"/>
      <w:pPr>
        <w:tabs>
          <w:tab w:val="left" w:pos="4800"/>
        </w:tabs>
        <w:ind w:left="4800" w:hanging="420"/>
      </w:pPr>
    </w:lvl>
    <w:lvl w:ilvl="8" w:tentative="0">
      <w:start w:val="1"/>
      <w:numFmt w:val="lowerRoman"/>
      <w:lvlText w:val="%9."/>
      <w:lvlJc w:val="right"/>
      <w:pPr>
        <w:tabs>
          <w:tab w:val="left" w:pos="5220"/>
        </w:tabs>
        <w:ind w:left="5220" w:hanging="42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NTMxNWFiMTQxZDJkMzU0MTM1MTJiYThjZTE2ZjQifQ=="/>
  </w:docVars>
  <w:rsids>
    <w:rsidRoot w:val="00000000"/>
    <w:rsid w:val="00FF1EBA"/>
    <w:rsid w:val="06F34A0E"/>
    <w:rsid w:val="0A746F8B"/>
    <w:rsid w:val="0F227143"/>
    <w:rsid w:val="17C5084B"/>
    <w:rsid w:val="1A29697E"/>
    <w:rsid w:val="1C2908DF"/>
    <w:rsid w:val="1FD3746A"/>
    <w:rsid w:val="24802B27"/>
    <w:rsid w:val="27807E41"/>
    <w:rsid w:val="2B171719"/>
    <w:rsid w:val="2CF34638"/>
    <w:rsid w:val="325A51C2"/>
    <w:rsid w:val="41AF1B95"/>
    <w:rsid w:val="41C64AAB"/>
    <w:rsid w:val="4E080D95"/>
    <w:rsid w:val="5A652ECC"/>
    <w:rsid w:val="5CE73451"/>
    <w:rsid w:val="610879CB"/>
    <w:rsid w:val="720D4290"/>
    <w:rsid w:val="75484091"/>
    <w:rsid w:val="7A003CFB"/>
    <w:rsid w:val="7C5855EB"/>
    <w:rsid w:val="7F575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4"/>
    <w:basedOn w:val="1"/>
    <w:next w:val="1"/>
    <w:qFormat/>
    <w:uiPriority w:val="0"/>
    <w:pPr>
      <w:keepNext/>
      <w:keepLines/>
      <w:spacing w:line="540" w:lineRule="atLeast"/>
      <w:outlineLvl w:val="3"/>
    </w:pPr>
    <w:rPr>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99"/>
    <w:pPr>
      <w:adjustRightInd w:val="0"/>
      <w:spacing w:line="312" w:lineRule="atLeast"/>
      <w:ind w:firstLine="420"/>
      <w:textAlignment w:val="baseline"/>
    </w:pPr>
    <w:rPr>
      <w:kern w:val="0"/>
      <w:szCs w:val="20"/>
    </w:rPr>
  </w:style>
  <w:style w:type="paragraph" w:styleId="5">
    <w:name w:val="Body Text Indent"/>
    <w:basedOn w:val="1"/>
    <w:next w:val="4"/>
    <w:qFormat/>
    <w:uiPriority w:val="0"/>
    <w:pPr>
      <w:ind w:left="480" w:hanging="480" w:hangingChars="200"/>
    </w:pPr>
    <w:rPr>
      <w:sz w:val="24"/>
    </w:rPr>
  </w:style>
  <w:style w:type="paragraph" w:styleId="6">
    <w:name w:val="annotation text"/>
    <w:basedOn w:val="1"/>
    <w:qFormat/>
    <w:uiPriority w:val="0"/>
    <w:pPr>
      <w:jc w:val="left"/>
    </w:pPr>
  </w:style>
  <w:style w:type="paragraph" w:styleId="7">
    <w:name w:val="Body Text"/>
    <w:basedOn w:val="1"/>
    <w:qFormat/>
    <w:uiPriority w:val="0"/>
    <w:pPr>
      <w:spacing w:after="120" w:afterLines="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5"/>
    <w:next w:val="1"/>
    <w:qFormat/>
    <w:uiPriority w:val="0"/>
    <w:pPr>
      <w:spacing w:after="120" w:line="240" w:lineRule="auto"/>
      <w:ind w:left="420" w:leftChars="200" w:firstLine="420"/>
    </w:pPr>
    <w:rPr>
      <w:shd w:val="clear" w:color="auto" w:fill="auto"/>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BodyText"/>
    <w:basedOn w:val="1"/>
    <w:qFormat/>
    <w:uiPriority w:val="0"/>
    <w:pPr>
      <w:spacing w:after="120"/>
      <w:jc w:val="both"/>
      <w:textAlignment w:val="baseline"/>
    </w:pPr>
  </w:style>
  <w:style w:type="character" w:customStyle="1" w:styleId="19">
    <w:name w:val="NormalCharacter"/>
    <w:qFormat/>
    <w:uiPriority w:val="0"/>
    <w:rPr>
      <w:kern w:val="2"/>
      <w:sz w:val="21"/>
      <w:szCs w:val="24"/>
      <w:lang w:val="en-US" w:eastAsia="zh-CN" w:bidi="ar-SA"/>
    </w:rPr>
  </w:style>
  <w:style w:type="character" w:customStyle="1" w:styleId="20">
    <w:name w:val="font31"/>
    <w:basedOn w:val="15"/>
    <w:qFormat/>
    <w:uiPriority w:val="0"/>
    <w:rPr>
      <w:rFonts w:hint="eastAsia" w:ascii="宋体" w:hAnsi="宋体" w:eastAsia="宋体" w:cs="宋体"/>
      <w:color w:val="000000"/>
      <w:sz w:val="21"/>
      <w:szCs w:val="21"/>
      <w:u w:val="none"/>
    </w:rPr>
  </w:style>
  <w:style w:type="character" w:customStyle="1" w:styleId="21">
    <w:name w:val="font01"/>
    <w:basedOn w:val="15"/>
    <w:qFormat/>
    <w:uiPriority w:val="0"/>
    <w:rPr>
      <w:rFonts w:ascii="Calibri" w:hAnsi="Calibri" w:cs="Calibri"/>
      <w:color w:val="000000"/>
      <w:sz w:val="21"/>
      <w:szCs w:val="21"/>
      <w:u w:val="none"/>
    </w:rPr>
  </w:style>
  <w:style w:type="character" w:customStyle="1" w:styleId="22">
    <w:name w:val="font61"/>
    <w:basedOn w:val="15"/>
    <w:qFormat/>
    <w:uiPriority w:val="0"/>
    <w:rPr>
      <w:rFonts w:hint="eastAsia" w:ascii="宋体" w:hAnsi="宋体" w:eastAsia="宋体" w:cs="宋体"/>
      <w:color w:val="000000"/>
      <w:sz w:val="21"/>
      <w:szCs w:val="21"/>
      <w:u w:val="none"/>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标题 7 New"/>
    <w:basedOn w:val="1"/>
    <w:next w:val="1"/>
    <w:qFormat/>
    <w:uiPriority w:val="0"/>
    <w:pPr>
      <w:keepNext/>
      <w:keepLines/>
      <w:widowControl/>
      <w:tabs>
        <w:tab w:val="left" w:pos="2520"/>
      </w:tabs>
      <w:spacing w:before="240" w:beforeLines="0" w:after="64" w:afterLines="0" w:line="317" w:lineRule="auto"/>
      <w:ind w:left="1296" w:hanging="1296"/>
      <w:jc w:val="left"/>
      <w:outlineLvl w:val="6"/>
    </w:pPr>
    <w:rPr>
      <w:b/>
      <w:kern w:val="0"/>
      <w:szCs w:val="20"/>
    </w:rPr>
  </w:style>
  <w:style w:type="character" w:customStyle="1" w:styleId="25">
    <w:name w:val="font41"/>
    <w:basedOn w:val="15"/>
    <w:qFormat/>
    <w:uiPriority w:val="0"/>
    <w:rPr>
      <w:rFonts w:hint="eastAsia" w:ascii="微软雅黑" w:hAnsi="微软雅黑" w:eastAsia="微软雅黑" w:cs="微软雅黑"/>
      <w:color w:val="000000"/>
      <w:sz w:val="32"/>
      <w:szCs w:val="32"/>
      <w:u w:val="none"/>
    </w:rPr>
  </w:style>
  <w:style w:type="character" w:customStyle="1" w:styleId="26">
    <w:name w:val="font51"/>
    <w:basedOn w:val="15"/>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3268</Words>
  <Characters>3395</Characters>
  <Lines>0</Lines>
  <Paragraphs>0</Paragraphs>
  <TotalTime>3</TotalTime>
  <ScaleCrop>false</ScaleCrop>
  <LinksUpToDate>false</LinksUpToDate>
  <CharactersWithSpaces>3565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2023-06-12T08:23:00Z</dcterms:created>
  <dc:creator>Administrator</dc:creator>
  <cp:lastModifiedBy>rabbit</cp:lastModifiedBy>
  <dcterms:modified xsi:type="dcterms:W3CDTF">2026-05-25T08:57:25Z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A938597347214572977D89EED823559F_13</vt:lpwstr>
  </property>
  <property fmtid="{D5CDD505-2E9C-101B-9397-08002B2CF9AE}" pid="4" name="KSOTemplateDocerSaveRecord">
    <vt:lpwstr>eyJoZGlkIjoiMjM3YzJmYmQ2ZDZiODZhNDhlYjY5NTgxNDg0NWYzOTIiLCJ1c2VySWQiOiIxMjM5NjgwOTMyIn0=</vt:lpwstr>
  </property>
</Properties>
</file>