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公告（三）第二次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（三）</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共9</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通气面罩</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含麻醉呼吸管路</w:t>
            </w:r>
            <w:r>
              <w:rPr>
                <w:rFonts w:hint="eastAsia" w:ascii="宋体" w:hAnsi="宋体" w:cs="宋体"/>
                <w:i w:val="0"/>
                <w:iCs w:val="0"/>
                <w:color w:val="000000"/>
                <w:kern w:val="0"/>
                <w:sz w:val="20"/>
                <w:szCs w:val="20"/>
                <w:highlight w:val="none"/>
                <w:u w:val="none"/>
                <w:lang w:val="en-US" w:eastAsia="zh-CN" w:bidi="ar"/>
              </w:rPr>
              <w:t>）</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含面罩、成人</w:t>
            </w:r>
            <w:r>
              <w:rPr>
                <w:rFonts w:hint="eastAsia" w:ascii="宋体" w:hAnsi="宋体" w:eastAsia="宋体" w:cs="宋体"/>
                <w:i w:val="0"/>
                <w:iCs w:val="0"/>
                <w:color w:val="000000"/>
                <w:kern w:val="0"/>
                <w:sz w:val="20"/>
                <w:szCs w:val="20"/>
                <w:u w:val="none"/>
                <w:lang w:val="en-US" w:eastAsia="zh-CN" w:bidi="ar"/>
              </w:rPr>
              <w:t>麻醉呼吸管路</w:t>
            </w:r>
            <w:r>
              <w:rPr>
                <w:rFonts w:hint="eastAsia" w:ascii="宋体" w:hAnsi="宋体" w:cs="宋体"/>
                <w:i w:val="0"/>
                <w:iCs w:val="0"/>
                <w:color w:val="000000"/>
                <w:kern w:val="0"/>
                <w:sz w:val="20"/>
                <w:szCs w:val="20"/>
                <w:u w:val="none"/>
                <w:lang w:val="en-US" w:eastAsia="zh-CN" w:bidi="ar"/>
              </w:rPr>
              <w:t>（管路组成：接头、螺纹管、管路固定夹、压力管、孔盖、集水杯）</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用于为成年使用者提供持续正压通气和双水平正压通气用的界面连接装置。与符合标准YY/T1040.1-2015中的22mm规格圆锥接头的呼吸机配合使用。</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腹膜透析外接短管</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腹透连接短管</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29F00CC">
            <w:pPr>
              <w:keepNext w:val="0"/>
              <w:keepLines w:val="0"/>
              <w:widowControl/>
              <w:numPr>
                <w:ilvl w:val="0"/>
                <w:numId w:val="0"/>
              </w:numPr>
              <w:suppressLineNumbers w:val="0"/>
              <w:jc w:val="both"/>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用于腹膜透析，可与螺旋钛接头共同连接于腹膜透析导管，用于与分离管路或循环管路的接合点进行无菌操作连接及分离。</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腹膜透析螺旋帽钛接头</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腹膜透析管用接头</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适用的腹透导管</w:t>
            </w:r>
            <w:r>
              <w:rPr>
                <w:rFonts w:hint="eastAsia" w:ascii="宋体" w:hAnsi="宋体" w:cs="宋体"/>
                <w:i w:val="0"/>
                <w:iCs w:val="0"/>
                <w:color w:val="000000"/>
                <w:kern w:val="0"/>
                <w:sz w:val="20"/>
                <w:szCs w:val="20"/>
                <w:u w:val="none"/>
                <w:lang w:val="en-US" w:eastAsia="zh-CN" w:bidi="ar"/>
              </w:rPr>
              <w:t>规格：</w:t>
            </w:r>
            <w:r>
              <w:rPr>
                <w:rFonts w:hint="eastAsia" w:ascii="宋体" w:hAnsi="宋体" w:eastAsia="宋体" w:cs="宋体"/>
                <w:i w:val="0"/>
                <w:iCs w:val="0"/>
                <w:color w:val="000000"/>
                <w:kern w:val="0"/>
                <w:sz w:val="20"/>
                <w:szCs w:val="20"/>
                <w:u w:val="none"/>
                <w:lang w:val="en-US" w:eastAsia="zh-CN" w:bidi="ar"/>
              </w:rPr>
              <w:t>内径2.6毫米-外径5毫米</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内径3.5毫米-外径5.1毫米。</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用于腹透导管与带有锁扣接头的外接短管的连接。</w:t>
            </w:r>
          </w:p>
        </w:tc>
        <w:tc>
          <w:tcPr>
            <w:tcW w:w="657" w:type="pct"/>
            <w:shd w:val="clear" w:color="auto" w:fill="auto"/>
            <w:vAlign w:val="center"/>
          </w:tcPr>
          <w:p w14:paraId="04D7F6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D2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37163E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77927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医用导管夹</w:t>
            </w:r>
          </w:p>
        </w:tc>
        <w:tc>
          <w:tcPr>
            <w:tcW w:w="559" w:type="pct"/>
            <w:shd w:val="clear" w:color="auto" w:fill="auto"/>
            <w:vAlign w:val="center"/>
          </w:tcPr>
          <w:p w14:paraId="79B786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腹膜透析用蓝夹子</w:t>
            </w:r>
          </w:p>
        </w:tc>
        <w:tc>
          <w:tcPr>
            <w:tcW w:w="493" w:type="pct"/>
            <w:shd w:val="clear" w:color="auto" w:fill="auto"/>
            <w:vAlign w:val="center"/>
          </w:tcPr>
          <w:p w14:paraId="33A5C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4C9D035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318" w:type="pct"/>
            <w:shd w:val="clear" w:color="auto" w:fill="auto"/>
            <w:vAlign w:val="center"/>
          </w:tcPr>
          <w:p w14:paraId="4BF84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011EE9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用于腹膜透析过程中，夹住各种医用塑料导管，控制导管中液体的流动。</w:t>
            </w:r>
          </w:p>
        </w:tc>
        <w:tc>
          <w:tcPr>
            <w:tcW w:w="657" w:type="pct"/>
            <w:shd w:val="clear" w:color="auto" w:fill="auto"/>
            <w:vAlign w:val="center"/>
          </w:tcPr>
          <w:p w14:paraId="4CD6F1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2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82E94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735995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腹膜透析管及附件</w:t>
            </w:r>
          </w:p>
        </w:tc>
        <w:tc>
          <w:tcPr>
            <w:tcW w:w="559" w:type="pct"/>
            <w:shd w:val="clear" w:color="auto" w:fill="auto"/>
            <w:vAlign w:val="center"/>
          </w:tcPr>
          <w:p w14:paraId="4F4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腹膜透析管</w:t>
            </w:r>
          </w:p>
        </w:tc>
        <w:tc>
          <w:tcPr>
            <w:tcW w:w="493" w:type="pct"/>
            <w:shd w:val="clear" w:color="auto" w:fill="auto"/>
            <w:vAlign w:val="center"/>
          </w:tcPr>
          <w:p w14:paraId="190785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F6E42D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318" w:type="pct"/>
            <w:shd w:val="clear" w:color="auto" w:fill="auto"/>
            <w:vAlign w:val="center"/>
          </w:tcPr>
          <w:p w14:paraId="134FB31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c>
          <w:tcPr>
            <w:tcW w:w="1220" w:type="pct"/>
            <w:shd w:val="clear" w:color="auto" w:fill="auto"/>
            <w:vAlign w:val="center"/>
          </w:tcPr>
          <w:p w14:paraId="5CA1CC8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透析管及附件适用于急性、慢性腹膜透析和腹腔内化疗。</w:t>
            </w:r>
          </w:p>
        </w:tc>
        <w:tc>
          <w:tcPr>
            <w:tcW w:w="657" w:type="pct"/>
            <w:shd w:val="clear" w:color="auto" w:fill="auto"/>
            <w:vAlign w:val="center"/>
          </w:tcPr>
          <w:p w14:paraId="19C14B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0E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5B985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015E1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尿失禁悬吊带</w:t>
            </w:r>
          </w:p>
        </w:tc>
        <w:tc>
          <w:tcPr>
            <w:tcW w:w="559" w:type="pct"/>
            <w:shd w:val="clear" w:color="auto" w:fill="auto"/>
            <w:vAlign w:val="center"/>
          </w:tcPr>
          <w:p w14:paraId="09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悬吊带系统</w:t>
            </w:r>
          </w:p>
        </w:tc>
        <w:tc>
          <w:tcPr>
            <w:tcW w:w="493" w:type="pct"/>
            <w:shd w:val="clear" w:color="auto" w:fill="auto"/>
            <w:vAlign w:val="center"/>
          </w:tcPr>
          <w:p w14:paraId="657F7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27D8C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238E2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7EDE1DBB">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该产品被用来在外科手术中治疗张力性尿失禁以及由于多产引起的尿失禁。</w:t>
            </w:r>
          </w:p>
        </w:tc>
        <w:tc>
          <w:tcPr>
            <w:tcW w:w="657" w:type="pct"/>
            <w:shd w:val="clear" w:color="auto" w:fill="auto"/>
            <w:vAlign w:val="center"/>
          </w:tcPr>
          <w:p w14:paraId="2F4A615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8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73BECD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12867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体腔器械导入润滑剂</w:t>
            </w:r>
          </w:p>
        </w:tc>
        <w:tc>
          <w:tcPr>
            <w:tcW w:w="559" w:type="pct"/>
            <w:shd w:val="clear" w:color="auto" w:fill="auto"/>
            <w:vAlign w:val="center"/>
          </w:tcPr>
          <w:p w14:paraId="664123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7AB80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C18C0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5ml</w:t>
            </w:r>
          </w:p>
        </w:tc>
        <w:tc>
          <w:tcPr>
            <w:tcW w:w="318" w:type="pct"/>
            <w:shd w:val="clear" w:color="auto" w:fill="auto"/>
            <w:vAlign w:val="center"/>
          </w:tcPr>
          <w:p w14:paraId="3C9416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支</w:t>
            </w:r>
          </w:p>
        </w:tc>
        <w:tc>
          <w:tcPr>
            <w:tcW w:w="1220" w:type="pct"/>
            <w:shd w:val="clear" w:color="auto" w:fill="auto"/>
            <w:vAlign w:val="center"/>
          </w:tcPr>
          <w:p w14:paraId="575251D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供消化道、呼吸道、尿道、阴道、肛门和直肠等腔道的插管和镜检时作导入润滑用。</w:t>
            </w:r>
          </w:p>
        </w:tc>
        <w:tc>
          <w:tcPr>
            <w:tcW w:w="657" w:type="pct"/>
            <w:shd w:val="clear" w:color="auto" w:fill="auto"/>
            <w:vAlign w:val="center"/>
          </w:tcPr>
          <w:p w14:paraId="295B9E6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B7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813A2E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552EDCC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一次性使用中单</w:t>
            </w:r>
          </w:p>
        </w:tc>
        <w:tc>
          <w:tcPr>
            <w:tcW w:w="559" w:type="pct"/>
            <w:shd w:val="clear" w:color="auto" w:fill="auto"/>
            <w:vAlign w:val="center"/>
          </w:tcPr>
          <w:p w14:paraId="113F37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一次性使用医用中单</w:t>
            </w:r>
          </w:p>
        </w:tc>
        <w:tc>
          <w:tcPr>
            <w:tcW w:w="493" w:type="pct"/>
            <w:shd w:val="clear" w:color="auto" w:fill="auto"/>
            <w:vAlign w:val="center"/>
          </w:tcPr>
          <w:p w14:paraId="6D1466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阳光采购</w:t>
            </w:r>
          </w:p>
        </w:tc>
        <w:tc>
          <w:tcPr>
            <w:tcW w:w="825" w:type="pct"/>
            <w:shd w:val="clear" w:color="auto" w:fill="auto"/>
            <w:vAlign w:val="center"/>
          </w:tcPr>
          <w:p w14:paraId="01A2B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胃镜专用 80*150</w:t>
            </w:r>
          </w:p>
        </w:tc>
        <w:tc>
          <w:tcPr>
            <w:tcW w:w="318" w:type="pct"/>
            <w:shd w:val="clear" w:color="auto" w:fill="auto"/>
            <w:vAlign w:val="center"/>
          </w:tcPr>
          <w:p w14:paraId="3992B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1220" w:type="pct"/>
            <w:shd w:val="clear" w:color="auto" w:fill="auto"/>
            <w:vAlign w:val="center"/>
          </w:tcPr>
          <w:p w14:paraId="3B3347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供医疗检查或铺垫使用。</w:t>
            </w:r>
          </w:p>
        </w:tc>
        <w:tc>
          <w:tcPr>
            <w:tcW w:w="657" w:type="pct"/>
            <w:shd w:val="clear" w:color="auto" w:fill="auto"/>
            <w:vAlign w:val="center"/>
          </w:tcPr>
          <w:p w14:paraId="7BAB6D3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557B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双焦点人工晶体</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双焦点人工晶体</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国家带量采购中选产品</w:t>
            </w:r>
          </w:p>
        </w:tc>
        <w:tc>
          <w:tcPr>
            <w:tcW w:w="825" w:type="pct"/>
            <w:shd w:val="clear" w:color="auto" w:fill="auto"/>
            <w:vAlign w:val="center"/>
          </w:tcPr>
          <w:p w14:paraId="343FD0F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各规格</w:t>
            </w:r>
          </w:p>
        </w:tc>
        <w:tc>
          <w:tcPr>
            <w:tcW w:w="318" w:type="pct"/>
            <w:shd w:val="clear" w:color="auto" w:fill="auto"/>
            <w:vAlign w:val="center"/>
          </w:tcPr>
          <w:p w14:paraId="3DB7C2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该产品用于眼内晶状体填充和置换，适用于老年性白内障和其他类型白内障的治疗。</w:t>
            </w:r>
          </w:p>
        </w:tc>
        <w:tc>
          <w:tcPr>
            <w:tcW w:w="657" w:type="pct"/>
            <w:shd w:val="clear" w:color="auto" w:fill="auto"/>
            <w:vAlign w:val="center"/>
          </w:tcPr>
          <w:p w14:paraId="44D400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07E8C5C4">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bookmarkStart w:id="0" w:name="_GoBack"/>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3.png耗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3.png耗材3"/>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bookmarkEnd w:id="0"/>
      <w:r>
        <w:rPr>
          <w:rFonts w:hint="eastAsia"/>
          <w:color w:val="0000FF"/>
          <w:sz w:val="24"/>
          <w:szCs w:val="24"/>
          <w:highlight w:val="none"/>
          <w:lang w:val="en-US" w:eastAsia="zh-CN"/>
        </w:rPr>
        <w:t>报名截止时间2026年5月18日12时。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标书投递截止时间2026年5月18日12时。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2"/>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default"/>
          <w:b/>
          <w:bCs/>
          <w:sz w:val="36"/>
          <w:szCs w:val="36"/>
          <w:highlight w:val="none"/>
          <w:lang w:val="en-US" w:eastAsia="zh-CN"/>
        </w:rPr>
      </w:pPr>
      <w:r>
        <w:rPr>
          <w:rFonts w:hint="eastAsia"/>
          <w:b/>
          <w:bCs/>
          <w:sz w:val="36"/>
          <w:szCs w:val="36"/>
          <w:highlight w:val="none"/>
          <w:lang w:val="en-US" w:eastAsia="zh-CN"/>
        </w:rPr>
        <w:t>（三）第二次</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BC46573"/>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BCC3162"/>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2012</Words>
  <Characters>2095</Characters>
  <Lines>0</Lines>
  <Paragraphs>0</Paragraphs>
  <TotalTime>23</TotalTime>
  <ScaleCrop>false</ScaleCrop>
  <LinksUpToDate>false</LinksUpToDate>
  <CharactersWithSpaces>2099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2026-05-11T08:10:50Z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