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9F4D4">
      <w:pPr>
        <w:spacing w:line="360" w:lineRule="auto"/>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t>投标须知</w:t>
      </w:r>
    </w:p>
    <w:p w14:paraId="40071833">
      <w:pPr>
        <w:widowControl/>
        <w:spacing w:line="420" w:lineRule="atLeas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投标人须知前附表</w:t>
      </w:r>
    </w:p>
    <w:tbl>
      <w:tblPr>
        <w:tblStyle w:val="10"/>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971"/>
        <w:gridCol w:w="5750"/>
      </w:tblGrid>
      <w:tr w14:paraId="2416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7" w:type="dxa"/>
            <w:vAlign w:val="center"/>
          </w:tcPr>
          <w:p w14:paraId="4C64F5C2">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ascii="仿宋" w:hAnsi="仿宋" w:eastAsia="仿宋" w:cs="Arial"/>
                <w:color w:val="auto"/>
                <w:sz w:val="24"/>
                <w:szCs w:val="24"/>
                <w:highlight w:val="none"/>
              </w:rPr>
              <w:t>序号</w:t>
            </w:r>
          </w:p>
        </w:tc>
        <w:tc>
          <w:tcPr>
            <w:tcW w:w="1971" w:type="dxa"/>
            <w:vAlign w:val="center"/>
          </w:tcPr>
          <w:p w14:paraId="11F4FB2C">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项</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目</w:t>
            </w:r>
          </w:p>
        </w:tc>
        <w:tc>
          <w:tcPr>
            <w:tcW w:w="5750" w:type="dxa"/>
            <w:vAlign w:val="center"/>
          </w:tcPr>
          <w:p w14:paraId="768E0C26">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ascii="仿宋" w:hAnsi="仿宋" w:eastAsia="仿宋"/>
                <w:color w:val="auto"/>
                <w:sz w:val="24"/>
                <w:szCs w:val="24"/>
                <w:highlight w:val="none"/>
              </w:rPr>
            </w:pPr>
            <w:r>
              <w:rPr>
                <w:rFonts w:hint="eastAsia" w:ascii="仿宋" w:hAnsi="仿宋" w:eastAsia="仿宋"/>
                <w:color w:val="auto"/>
                <w:sz w:val="24"/>
                <w:szCs w:val="24"/>
                <w:highlight w:val="none"/>
              </w:rPr>
              <w:t>内</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容</w:t>
            </w:r>
          </w:p>
        </w:tc>
      </w:tr>
      <w:tr w14:paraId="7513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7" w:type="dxa"/>
            <w:vAlign w:val="center"/>
          </w:tcPr>
          <w:p w14:paraId="1459BC65">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971" w:type="dxa"/>
            <w:vAlign w:val="center"/>
          </w:tcPr>
          <w:p w14:paraId="2B2C229D">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5750" w:type="dxa"/>
            <w:vAlign w:val="center"/>
          </w:tcPr>
          <w:p w14:paraId="73C71045">
            <w:pPr>
              <w:keepNext w:val="0"/>
              <w:keepLines w:val="0"/>
              <w:pageBreakBefore w:val="0"/>
              <w:kinsoku/>
              <w:wordWrap/>
              <w:overflowPunct/>
              <w:topLinePunct w:val="0"/>
              <w:autoSpaceDE/>
              <w:autoSpaceDN/>
              <w:bidi w:val="0"/>
              <w:snapToGrid/>
              <w:spacing w:line="240" w:lineRule="auto"/>
              <w:rPr>
                <w:rFonts w:hint="eastAsia" w:ascii="仿宋" w:hAnsi="仿宋" w:eastAsia="仿宋" w:cs="Arial"/>
                <w:color w:val="auto"/>
                <w:sz w:val="24"/>
                <w:highlight w:val="none"/>
                <w:lang w:val="zh-CN" w:eastAsia="zh-CN"/>
              </w:rPr>
            </w:pPr>
            <w:r>
              <w:rPr>
                <w:rFonts w:hint="eastAsia" w:ascii="仿宋" w:hAnsi="仿宋" w:eastAsia="仿宋"/>
                <w:color w:val="auto"/>
                <w:sz w:val="24"/>
                <w:szCs w:val="24"/>
                <w:highlight w:val="none"/>
                <w:lang w:eastAsia="zh-CN"/>
              </w:rPr>
              <w:t>义乌市稠城街道社区卫生服务中心一般货物、服务类项目招标代理服务</w:t>
            </w:r>
          </w:p>
        </w:tc>
      </w:tr>
      <w:tr w14:paraId="1827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7" w:type="dxa"/>
            <w:vAlign w:val="center"/>
          </w:tcPr>
          <w:p w14:paraId="5EFF20B3">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971" w:type="dxa"/>
            <w:vAlign w:val="center"/>
          </w:tcPr>
          <w:p w14:paraId="4D417D37">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招标内容</w:t>
            </w:r>
          </w:p>
        </w:tc>
        <w:tc>
          <w:tcPr>
            <w:tcW w:w="5750" w:type="dxa"/>
            <w:vAlign w:val="center"/>
          </w:tcPr>
          <w:p w14:paraId="38CC2502">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详见本招标文件第四章 招标货物内容</w:t>
            </w:r>
          </w:p>
        </w:tc>
      </w:tr>
      <w:tr w14:paraId="517E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57" w:type="dxa"/>
            <w:vAlign w:val="center"/>
          </w:tcPr>
          <w:p w14:paraId="528739A3">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971" w:type="dxa"/>
            <w:vAlign w:val="center"/>
          </w:tcPr>
          <w:p w14:paraId="78325005">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投标人资格要求</w:t>
            </w:r>
          </w:p>
        </w:tc>
        <w:tc>
          <w:tcPr>
            <w:tcW w:w="5750" w:type="dxa"/>
            <w:vAlign w:val="center"/>
          </w:tcPr>
          <w:p w14:paraId="0E64EB02">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见招标公告中的“五、投标单位的资格要求”</w:t>
            </w:r>
          </w:p>
        </w:tc>
      </w:tr>
      <w:tr w14:paraId="5AE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57" w:type="dxa"/>
            <w:vAlign w:val="center"/>
          </w:tcPr>
          <w:p w14:paraId="63F6D303">
            <w:pPr>
              <w:pStyle w:val="7"/>
              <w:spacing w:line="360" w:lineRule="auto"/>
              <w:ind w:firstLine="0"/>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4</w:t>
            </w:r>
          </w:p>
        </w:tc>
        <w:tc>
          <w:tcPr>
            <w:tcW w:w="1971" w:type="dxa"/>
            <w:vAlign w:val="center"/>
          </w:tcPr>
          <w:p w14:paraId="7C33CC03">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kern w:val="2"/>
                <w:sz w:val="24"/>
                <w:szCs w:val="24"/>
                <w:highlight w:val="none"/>
              </w:rPr>
              <w:t>完成方式和交货期</w:t>
            </w:r>
          </w:p>
        </w:tc>
        <w:tc>
          <w:tcPr>
            <w:tcW w:w="5750" w:type="dxa"/>
            <w:vAlign w:val="center"/>
          </w:tcPr>
          <w:p w14:paraId="30239D3C">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按项目计，每个项目从编制招标文件开始直至采购合同备案完毕为止。</w:t>
            </w:r>
          </w:p>
        </w:tc>
      </w:tr>
      <w:tr w14:paraId="0EC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57" w:type="dxa"/>
            <w:vAlign w:val="center"/>
          </w:tcPr>
          <w:p w14:paraId="0BCAAD14">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1971" w:type="dxa"/>
            <w:vAlign w:val="center"/>
          </w:tcPr>
          <w:p w14:paraId="2B94B16B">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结算方式</w:t>
            </w:r>
          </w:p>
        </w:tc>
        <w:tc>
          <w:tcPr>
            <w:tcW w:w="5750" w:type="dxa"/>
            <w:vAlign w:val="center"/>
          </w:tcPr>
          <w:p w14:paraId="2D657E5E">
            <w:pPr>
              <w:pStyle w:val="6"/>
              <w:keepNext w:val="0"/>
              <w:keepLines w:val="0"/>
              <w:pageBreakBefore w:val="0"/>
              <w:kinsoku/>
              <w:wordWrap/>
              <w:overflowPunct/>
              <w:topLinePunct w:val="0"/>
              <w:autoSpaceDE/>
              <w:autoSpaceDN/>
              <w:bidi w:val="0"/>
              <w:snapToGrid/>
              <w:spacing w:line="240" w:lineRule="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招标代理服务费按计价格</w:t>
            </w:r>
            <w:r>
              <w:rPr>
                <w:rFonts w:hint="eastAsia" w:ascii="仿宋" w:hAnsi="仿宋" w:eastAsia="仿宋" w:cs="宋体"/>
                <w:bCs/>
                <w:color w:val="auto"/>
                <w:sz w:val="24"/>
                <w:szCs w:val="24"/>
                <w:highlight w:val="none"/>
                <w:lang w:eastAsia="zh-CN"/>
              </w:rPr>
              <w:t>〔2002〕1980号</w:t>
            </w:r>
            <w:r>
              <w:rPr>
                <w:rFonts w:hint="eastAsia" w:ascii="仿宋" w:hAnsi="仿宋" w:eastAsia="仿宋" w:cs="宋体"/>
                <w:bCs/>
                <w:color w:val="auto"/>
                <w:sz w:val="24"/>
                <w:szCs w:val="24"/>
                <w:highlight w:val="none"/>
              </w:rPr>
              <w:t>文件及发改办价格</w:t>
            </w:r>
            <w:r>
              <w:rPr>
                <w:rFonts w:hint="eastAsia" w:ascii="仿宋" w:hAnsi="仿宋" w:eastAsia="仿宋" w:cs="宋体"/>
                <w:bCs/>
                <w:color w:val="auto"/>
                <w:sz w:val="24"/>
                <w:szCs w:val="24"/>
                <w:highlight w:val="none"/>
                <w:lang w:eastAsia="zh-CN"/>
              </w:rPr>
              <w:t>〔2003〕857号</w:t>
            </w:r>
            <w:r>
              <w:rPr>
                <w:rFonts w:hint="eastAsia" w:ascii="仿宋" w:hAnsi="仿宋" w:eastAsia="仿宋" w:cs="宋体"/>
                <w:bCs/>
                <w:color w:val="auto"/>
                <w:sz w:val="24"/>
                <w:szCs w:val="24"/>
                <w:highlight w:val="none"/>
              </w:rPr>
              <w:t>文件的收费标准*</w:t>
            </w:r>
            <w:r>
              <w:rPr>
                <w:rFonts w:hint="eastAsia" w:ascii="仿宋" w:hAnsi="仿宋" w:eastAsia="仿宋" w:cs="宋体"/>
                <w:bCs/>
                <w:color w:val="auto"/>
                <w:sz w:val="24"/>
                <w:szCs w:val="24"/>
                <w:highlight w:val="none"/>
                <w:lang w:eastAsia="zh-CN"/>
              </w:rPr>
              <w:t>结算率</w:t>
            </w:r>
            <w:r>
              <w:rPr>
                <w:rFonts w:hint="eastAsia" w:ascii="仿宋" w:hAnsi="仿宋" w:eastAsia="仿宋" w:cs="宋体"/>
                <w:bCs/>
                <w:color w:val="auto"/>
                <w:sz w:val="24"/>
                <w:szCs w:val="24"/>
                <w:highlight w:val="none"/>
              </w:rPr>
              <w:t>。</w:t>
            </w:r>
          </w:p>
          <w:p w14:paraId="0810E599">
            <w:pPr>
              <w:pStyle w:val="6"/>
              <w:keepNext w:val="0"/>
              <w:keepLines w:val="0"/>
              <w:pageBreakBefore w:val="0"/>
              <w:kinsoku/>
              <w:wordWrap/>
              <w:overflowPunct/>
              <w:topLinePunct w:val="0"/>
              <w:autoSpaceDE/>
              <w:autoSpaceDN/>
              <w:bidi w:val="0"/>
              <w:snapToGrid/>
              <w:spacing w:line="240" w:lineRule="auto"/>
              <w:rPr>
                <w:rFonts w:ascii="仿宋" w:hAnsi="仿宋" w:eastAsia="仿宋"/>
                <w:color w:val="auto"/>
                <w:sz w:val="24"/>
                <w:szCs w:val="24"/>
                <w:highlight w:val="none"/>
                <w:u w:val="single"/>
              </w:rPr>
            </w:pPr>
            <w:r>
              <w:rPr>
                <w:rFonts w:hint="eastAsia" w:ascii="仿宋" w:hAnsi="仿宋" w:eastAsia="仿宋" w:cs="宋体"/>
                <w:bCs/>
                <w:color w:val="auto"/>
                <w:sz w:val="24"/>
                <w:szCs w:val="24"/>
                <w:highlight w:val="none"/>
              </w:rPr>
              <w:t>特殊项目由招标人和中标人协商制定招标代理服务费</w:t>
            </w:r>
          </w:p>
        </w:tc>
      </w:tr>
      <w:tr w14:paraId="1A21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7" w:type="dxa"/>
            <w:vAlign w:val="center"/>
          </w:tcPr>
          <w:p w14:paraId="431021D1">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1971" w:type="dxa"/>
            <w:vAlign w:val="center"/>
          </w:tcPr>
          <w:p w14:paraId="2656D8A6">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服务期限</w:t>
            </w:r>
          </w:p>
        </w:tc>
        <w:tc>
          <w:tcPr>
            <w:tcW w:w="5750" w:type="dxa"/>
            <w:vAlign w:val="center"/>
          </w:tcPr>
          <w:p w14:paraId="328EEFE3">
            <w:pPr>
              <w:pStyle w:val="6"/>
              <w:keepNext w:val="0"/>
              <w:keepLines w:val="0"/>
              <w:pageBreakBefore w:val="0"/>
              <w:kinsoku/>
              <w:wordWrap/>
              <w:overflowPunct/>
              <w:topLinePunct w:val="0"/>
              <w:autoSpaceDE/>
              <w:autoSpaceDN/>
              <w:bidi w:val="0"/>
              <w:snapToGrid/>
              <w:spacing w:line="240" w:lineRule="auto"/>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eastAsia="zh-CN"/>
              </w:rPr>
              <w:t>两</w:t>
            </w:r>
            <w:r>
              <w:rPr>
                <w:rFonts w:hint="eastAsia" w:ascii="仿宋" w:hAnsi="仿宋" w:eastAsia="仿宋" w:cs="宋体"/>
                <w:bCs/>
                <w:color w:val="auto"/>
                <w:sz w:val="24"/>
                <w:szCs w:val="24"/>
                <w:highlight w:val="none"/>
              </w:rPr>
              <w:t>年</w:t>
            </w:r>
            <w:r>
              <w:rPr>
                <w:rFonts w:hint="eastAsia" w:ascii="仿宋" w:hAnsi="仿宋" w:eastAsia="仿宋" w:cs="宋体"/>
                <w:bCs/>
                <w:color w:val="auto"/>
                <w:sz w:val="24"/>
                <w:szCs w:val="24"/>
                <w:highlight w:val="none"/>
                <w:lang w:eastAsia="zh-CN"/>
              </w:rPr>
              <w:t>。服务期限满一年，由甲方进行考核，考核</w:t>
            </w:r>
            <w:r>
              <w:rPr>
                <w:rFonts w:hint="eastAsia" w:ascii="仿宋" w:hAnsi="仿宋" w:eastAsia="仿宋" w:cs="宋体"/>
                <w:bCs/>
                <w:color w:val="auto"/>
                <w:sz w:val="24"/>
                <w:szCs w:val="24"/>
                <w:highlight w:val="none"/>
                <w:lang w:val="en-US" w:eastAsia="zh-CN"/>
              </w:rPr>
              <w:t>85分及以上为合格，若不合格甲方有权中断合同。</w:t>
            </w:r>
          </w:p>
        </w:tc>
      </w:tr>
      <w:tr w14:paraId="1DF2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57" w:type="dxa"/>
            <w:vAlign w:val="center"/>
          </w:tcPr>
          <w:p w14:paraId="7F26FF1B">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1971" w:type="dxa"/>
            <w:vAlign w:val="center"/>
          </w:tcPr>
          <w:p w14:paraId="684BAEE1">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投标有效期</w:t>
            </w:r>
          </w:p>
        </w:tc>
        <w:tc>
          <w:tcPr>
            <w:tcW w:w="5750" w:type="dxa"/>
            <w:vAlign w:val="center"/>
          </w:tcPr>
          <w:p w14:paraId="17F94323">
            <w:pPr>
              <w:keepNext w:val="0"/>
              <w:keepLines w:val="0"/>
              <w:pageBreakBefore w:val="0"/>
              <w:kinsoku/>
              <w:wordWrap/>
              <w:overflowPunct/>
              <w:topLinePunct w:val="0"/>
              <w:autoSpaceDE/>
              <w:autoSpaceDN/>
              <w:bidi w:val="0"/>
              <w:adjustRightInd w:val="0"/>
              <w:snapToGrid/>
              <w:spacing w:before="96" w:after="96" w:line="240" w:lineRule="auto"/>
              <w:textAlignment w:val="bottom"/>
              <w:rPr>
                <w:rFonts w:ascii="仿宋" w:hAnsi="仿宋" w:eastAsia="仿宋"/>
                <w:color w:val="auto"/>
                <w:sz w:val="24"/>
                <w:highlight w:val="none"/>
              </w:rPr>
            </w:pPr>
            <w:r>
              <w:rPr>
                <w:rFonts w:ascii="仿宋" w:hAnsi="仿宋" w:eastAsia="仿宋"/>
                <w:color w:val="auto"/>
                <w:sz w:val="24"/>
                <w:highlight w:val="none"/>
              </w:rPr>
              <w:t>自投标截止时间起为</w:t>
            </w:r>
            <w:r>
              <w:rPr>
                <w:rFonts w:hint="eastAsia" w:ascii="仿宋" w:hAnsi="仿宋" w:eastAsia="仿宋"/>
                <w:color w:val="auto"/>
                <w:sz w:val="24"/>
                <w:highlight w:val="none"/>
                <w:lang w:val="en-US" w:eastAsia="zh-CN"/>
              </w:rPr>
              <w:t>6</w:t>
            </w:r>
            <w:r>
              <w:rPr>
                <w:rFonts w:ascii="仿宋" w:hAnsi="仿宋" w:eastAsia="仿宋"/>
                <w:color w:val="auto"/>
                <w:sz w:val="24"/>
                <w:highlight w:val="none"/>
              </w:rPr>
              <w:t>0日历天</w:t>
            </w:r>
          </w:p>
        </w:tc>
      </w:tr>
      <w:tr w14:paraId="3B05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57" w:type="dxa"/>
            <w:vAlign w:val="center"/>
          </w:tcPr>
          <w:p w14:paraId="6B604FB9">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1971" w:type="dxa"/>
            <w:vAlign w:val="center"/>
          </w:tcPr>
          <w:p w14:paraId="005FC071">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投标文件份数</w:t>
            </w:r>
          </w:p>
        </w:tc>
        <w:tc>
          <w:tcPr>
            <w:tcW w:w="5750" w:type="dxa"/>
            <w:vAlign w:val="center"/>
          </w:tcPr>
          <w:p w14:paraId="511D5864">
            <w:pPr>
              <w:keepNext w:val="0"/>
              <w:keepLines w:val="0"/>
              <w:pageBreakBefore w:val="0"/>
              <w:kinsoku/>
              <w:wordWrap/>
              <w:overflowPunct/>
              <w:topLinePunct w:val="0"/>
              <w:autoSpaceDE/>
              <w:autoSpaceDN/>
              <w:bidi w:val="0"/>
              <w:adjustRightInd w:val="0"/>
              <w:snapToGrid/>
              <w:spacing w:before="96" w:after="96" w:line="240" w:lineRule="auto"/>
              <w:textAlignment w:val="bottom"/>
              <w:rPr>
                <w:rFonts w:ascii="仿宋" w:hAnsi="仿宋" w:eastAsia="仿宋"/>
                <w:color w:val="auto"/>
                <w:sz w:val="24"/>
                <w:highlight w:val="none"/>
              </w:rPr>
            </w:pPr>
            <w:r>
              <w:rPr>
                <w:rFonts w:hint="eastAsia" w:ascii="仿宋" w:hAnsi="仿宋" w:eastAsia="仿宋"/>
                <w:color w:val="auto"/>
                <w:sz w:val="24"/>
                <w:highlight w:val="none"/>
              </w:rPr>
              <w:t>投</w:t>
            </w:r>
            <w:r>
              <w:rPr>
                <w:rFonts w:ascii="仿宋" w:hAnsi="仿宋" w:eastAsia="仿宋"/>
                <w:color w:val="auto"/>
                <w:sz w:val="24"/>
                <w:highlight w:val="none"/>
              </w:rPr>
              <w:t>标文件的份数：</w:t>
            </w:r>
            <w:r>
              <w:rPr>
                <w:rFonts w:hint="eastAsia" w:ascii="仿宋" w:hAnsi="仿宋" w:eastAsia="仿宋" w:cs="宋体"/>
                <w:color w:val="auto"/>
                <w:kern w:val="0"/>
                <w:sz w:val="24"/>
                <w:szCs w:val="24"/>
                <w:lang w:val="en-US" w:eastAsia="zh-CN" w:bidi="ar-SA"/>
              </w:rPr>
              <w:t>技术文件正本一份，副本二份；商务文件正本一份，副本二份</w:t>
            </w:r>
            <w:r>
              <w:rPr>
                <w:rFonts w:hint="eastAsia" w:ascii="仿宋" w:hAnsi="仿宋" w:eastAsia="仿宋"/>
                <w:color w:val="auto"/>
                <w:sz w:val="24"/>
                <w:highlight w:val="none"/>
              </w:rPr>
              <w:t>。</w:t>
            </w:r>
          </w:p>
        </w:tc>
      </w:tr>
      <w:tr w14:paraId="475B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57" w:type="dxa"/>
            <w:vAlign w:val="center"/>
          </w:tcPr>
          <w:p w14:paraId="207A77C9">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1971" w:type="dxa"/>
            <w:vAlign w:val="center"/>
          </w:tcPr>
          <w:p w14:paraId="1750F646">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招标答疑</w:t>
            </w:r>
          </w:p>
        </w:tc>
        <w:tc>
          <w:tcPr>
            <w:tcW w:w="5750" w:type="dxa"/>
            <w:vAlign w:val="center"/>
          </w:tcPr>
          <w:p w14:paraId="3DB96573">
            <w:pPr>
              <w:keepNext w:val="0"/>
              <w:keepLines w:val="0"/>
              <w:pageBreakBefore w:val="0"/>
              <w:kinsoku/>
              <w:wordWrap/>
              <w:overflowPunct/>
              <w:topLinePunct w:val="0"/>
              <w:autoSpaceDE/>
              <w:autoSpaceDN/>
              <w:bidi w:val="0"/>
              <w:snapToGrid/>
              <w:spacing w:line="240" w:lineRule="auto"/>
              <w:rPr>
                <w:rFonts w:ascii="仿宋" w:hAnsi="仿宋" w:eastAsia="仿宋"/>
                <w:color w:val="auto"/>
                <w:sz w:val="24"/>
                <w:highlight w:val="none"/>
              </w:rPr>
            </w:pPr>
            <w:r>
              <w:rPr>
                <w:rFonts w:ascii="仿宋" w:hAnsi="仿宋" w:eastAsia="仿宋"/>
                <w:color w:val="auto"/>
                <w:sz w:val="24"/>
                <w:highlight w:val="none"/>
              </w:rPr>
              <w:t>各投标人对招标文件如有疑问，请于</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17</w:t>
            </w:r>
            <w:r>
              <w:rPr>
                <w:rFonts w:hint="eastAsia" w:ascii="仿宋" w:hAnsi="仿宋" w:eastAsia="仿宋"/>
                <w:color w:val="auto"/>
                <w:sz w:val="24"/>
                <w:highlight w:val="none"/>
                <w:lang w:eastAsia="zh-CN"/>
              </w:rPr>
              <w:t>日</w:t>
            </w:r>
            <w:r>
              <w:rPr>
                <w:rFonts w:hint="eastAsia" w:ascii="仿宋" w:hAnsi="仿宋" w:eastAsia="仿宋"/>
                <w:color w:val="auto"/>
                <w:sz w:val="24"/>
                <w:highlight w:val="none"/>
              </w:rPr>
              <w:t>之前</w:t>
            </w:r>
            <w:r>
              <w:rPr>
                <w:rFonts w:ascii="仿宋" w:hAnsi="仿宋" w:eastAsia="仿宋"/>
                <w:color w:val="auto"/>
                <w:sz w:val="24"/>
                <w:highlight w:val="none"/>
              </w:rPr>
              <w:t>以书面形式提出，招标人将</w:t>
            </w:r>
            <w:r>
              <w:rPr>
                <w:rFonts w:hint="eastAsia" w:ascii="仿宋" w:hAnsi="仿宋" w:eastAsia="仿宋"/>
                <w:color w:val="auto"/>
                <w:sz w:val="24"/>
                <w:highlight w:val="none"/>
              </w:rPr>
              <w:t>视情况给予回复</w:t>
            </w:r>
            <w:r>
              <w:rPr>
                <w:rFonts w:ascii="仿宋" w:hAnsi="仿宋" w:eastAsia="仿宋"/>
                <w:color w:val="auto"/>
                <w:sz w:val="24"/>
                <w:highlight w:val="none"/>
              </w:rPr>
              <w:t>。</w:t>
            </w:r>
          </w:p>
        </w:tc>
      </w:tr>
      <w:tr w14:paraId="17D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57" w:type="dxa"/>
            <w:vAlign w:val="center"/>
          </w:tcPr>
          <w:p w14:paraId="54B2FDDD">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1971" w:type="dxa"/>
            <w:vAlign w:val="center"/>
          </w:tcPr>
          <w:p w14:paraId="1A26CA90">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踏勘现场</w:t>
            </w:r>
          </w:p>
        </w:tc>
        <w:tc>
          <w:tcPr>
            <w:tcW w:w="5750" w:type="dxa"/>
            <w:vAlign w:val="center"/>
          </w:tcPr>
          <w:p w14:paraId="32FA7B88">
            <w:pPr>
              <w:keepNext w:val="0"/>
              <w:keepLines w:val="0"/>
              <w:pageBreakBefore w:val="0"/>
              <w:kinsoku/>
              <w:wordWrap/>
              <w:overflowPunct/>
              <w:topLinePunct w:val="0"/>
              <w:autoSpaceDE/>
              <w:autoSpaceDN/>
              <w:bidi w:val="0"/>
              <w:snapToGrid/>
              <w:spacing w:line="240" w:lineRule="auto"/>
              <w:rPr>
                <w:rFonts w:ascii="仿宋" w:hAnsi="仿宋" w:eastAsia="仿宋" w:cs="Arial"/>
                <w:color w:val="auto"/>
                <w:sz w:val="24"/>
                <w:highlight w:val="none"/>
              </w:rPr>
            </w:pPr>
            <w:r>
              <w:rPr>
                <w:rFonts w:hint="eastAsia" w:ascii="仿宋" w:hAnsi="仿宋" w:eastAsia="仿宋" w:cs="Arial"/>
                <w:color w:val="auto"/>
                <w:sz w:val="24"/>
                <w:highlight w:val="none"/>
              </w:rPr>
              <w:t>招标人不组织踏勘现场，投标人如有需要，</w:t>
            </w:r>
            <w:r>
              <w:rPr>
                <w:rFonts w:ascii="仿宋" w:hAnsi="仿宋" w:eastAsia="仿宋" w:cs="Arial"/>
                <w:color w:val="auto"/>
                <w:sz w:val="24"/>
                <w:highlight w:val="none"/>
              </w:rPr>
              <w:t>自行</w:t>
            </w:r>
            <w:r>
              <w:rPr>
                <w:rFonts w:hint="eastAsia" w:ascii="仿宋" w:hAnsi="仿宋" w:eastAsia="仿宋" w:cs="Arial"/>
                <w:color w:val="auto"/>
                <w:sz w:val="24"/>
                <w:highlight w:val="none"/>
              </w:rPr>
              <w:t>安排</w:t>
            </w:r>
            <w:r>
              <w:rPr>
                <w:rFonts w:ascii="仿宋" w:hAnsi="仿宋" w:eastAsia="仿宋" w:cs="Arial"/>
                <w:color w:val="auto"/>
                <w:sz w:val="24"/>
                <w:highlight w:val="none"/>
              </w:rPr>
              <w:t>踏勘</w:t>
            </w:r>
            <w:r>
              <w:rPr>
                <w:rFonts w:hint="eastAsia" w:ascii="仿宋" w:hAnsi="仿宋" w:eastAsia="仿宋" w:cs="Arial"/>
                <w:color w:val="auto"/>
                <w:sz w:val="24"/>
                <w:highlight w:val="none"/>
              </w:rPr>
              <w:t>现场，并自行承担所需的费用和风险。</w:t>
            </w:r>
          </w:p>
          <w:p w14:paraId="2FEF686E">
            <w:pPr>
              <w:keepNext w:val="0"/>
              <w:keepLines w:val="0"/>
              <w:pageBreakBefore w:val="0"/>
              <w:kinsoku/>
              <w:wordWrap/>
              <w:overflowPunct/>
              <w:topLinePunct w:val="0"/>
              <w:autoSpaceDE/>
              <w:autoSpaceDN/>
              <w:bidi w:val="0"/>
              <w:snapToGrid/>
              <w:spacing w:line="240" w:lineRule="auto"/>
              <w:rPr>
                <w:rFonts w:hint="eastAsia" w:ascii="仿宋" w:hAnsi="仿宋" w:eastAsia="仿宋" w:cs="Arial"/>
                <w:color w:val="auto"/>
                <w:sz w:val="24"/>
                <w:highlight w:val="none"/>
                <w:u w:val="single"/>
                <w:lang w:eastAsia="zh-CN"/>
              </w:rPr>
            </w:pPr>
            <w:r>
              <w:rPr>
                <w:rFonts w:ascii="仿宋" w:hAnsi="仿宋" w:eastAsia="仿宋" w:cs="Arial"/>
                <w:color w:val="auto"/>
                <w:sz w:val="24"/>
                <w:highlight w:val="none"/>
              </w:rPr>
              <w:t>地点：</w:t>
            </w:r>
            <w:r>
              <w:rPr>
                <w:rFonts w:hint="eastAsia" w:ascii="仿宋" w:hAnsi="仿宋" w:eastAsia="仿宋" w:cs="Arial"/>
                <w:color w:val="auto"/>
                <w:sz w:val="24"/>
                <w:highlight w:val="none"/>
                <w:lang w:eastAsia="zh-CN"/>
              </w:rPr>
              <w:t>义乌市稠城街道社区卫生服务中心</w:t>
            </w:r>
          </w:p>
        </w:tc>
      </w:tr>
      <w:tr w14:paraId="0FCF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57" w:type="dxa"/>
            <w:vAlign w:val="center"/>
          </w:tcPr>
          <w:p w14:paraId="6C1F5042">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1971" w:type="dxa"/>
            <w:vAlign w:val="center"/>
          </w:tcPr>
          <w:p w14:paraId="074619A0">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投标截止时间</w:t>
            </w:r>
          </w:p>
          <w:p w14:paraId="54FB8DCF">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投标地点</w:t>
            </w:r>
          </w:p>
        </w:tc>
        <w:tc>
          <w:tcPr>
            <w:tcW w:w="5750" w:type="dxa"/>
            <w:vAlign w:val="center"/>
          </w:tcPr>
          <w:p w14:paraId="1CDED3A1">
            <w:pPr>
              <w:keepNext w:val="0"/>
              <w:keepLines w:val="0"/>
              <w:pageBreakBefore w:val="0"/>
              <w:widowControl/>
              <w:kinsoku/>
              <w:wordWrap/>
              <w:overflowPunct/>
              <w:topLinePunct w:val="0"/>
              <w:autoSpaceDE/>
              <w:autoSpaceDN/>
              <w:bidi w:val="0"/>
              <w:snapToGrid/>
              <w:spacing w:before="54" w:after="54" w:line="240" w:lineRule="auto"/>
              <w:ind w:left="54" w:right="54"/>
              <w:outlineLvl w:val="0"/>
              <w:rPr>
                <w:rFonts w:ascii="仿宋" w:hAnsi="仿宋" w:eastAsia="仿宋" w:cs="宋体"/>
                <w:color w:val="auto"/>
                <w:kern w:val="0"/>
                <w:sz w:val="24"/>
                <w:highlight w:val="none"/>
              </w:rPr>
            </w:pPr>
            <w:r>
              <w:rPr>
                <w:rFonts w:ascii="仿宋" w:hAnsi="仿宋" w:eastAsia="仿宋"/>
                <w:color w:val="auto"/>
                <w:sz w:val="24"/>
                <w:highlight w:val="none"/>
              </w:rPr>
              <w:t>投标截止时间：</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18</w:t>
            </w:r>
            <w:r>
              <w:rPr>
                <w:rFonts w:hint="eastAsia" w:ascii="仿宋" w:hAnsi="仿宋" w:eastAsia="仿宋"/>
                <w:color w:val="auto"/>
                <w:sz w:val="24"/>
                <w:highlight w:val="none"/>
                <w:lang w:eastAsia="zh-CN"/>
              </w:rPr>
              <w:t>日</w:t>
            </w:r>
            <w:r>
              <w:rPr>
                <w:rFonts w:hint="eastAsia" w:ascii="仿宋" w:hAnsi="仿宋" w:eastAsia="仿宋" w:cs="宋体"/>
                <w:color w:val="auto"/>
                <w:kern w:val="0"/>
                <w:sz w:val="24"/>
                <w:highlight w:val="none"/>
                <w:lang w:val="en-US" w:eastAsia="zh-CN"/>
              </w:rPr>
              <w:t>14</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 xml:space="preserve">0  </w:t>
            </w:r>
            <w:r>
              <w:rPr>
                <w:rFonts w:ascii="仿宋" w:hAnsi="仿宋" w:eastAsia="仿宋" w:cs="宋体"/>
                <w:color w:val="auto"/>
                <w:kern w:val="0"/>
                <w:sz w:val="24"/>
                <w:highlight w:val="none"/>
              </w:rPr>
              <w:t>（北京时间）</w:t>
            </w:r>
          </w:p>
          <w:p w14:paraId="1265F571">
            <w:pPr>
              <w:keepNext w:val="0"/>
              <w:keepLines w:val="0"/>
              <w:pageBreakBefore w:val="0"/>
              <w:kinsoku/>
              <w:wordWrap/>
              <w:overflowPunct/>
              <w:topLinePunct w:val="0"/>
              <w:autoSpaceDE/>
              <w:autoSpaceDN/>
              <w:bidi w:val="0"/>
              <w:snapToGrid/>
              <w:spacing w:line="240" w:lineRule="auto"/>
              <w:rPr>
                <w:rFonts w:hint="default" w:ascii="仿宋" w:hAnsi="仿宋" w:eastAsia="仿宋"/>
                <w:color w:val="auto"/>
                <w:sz w:val="24"/>
                <w:highlight w:val="none"/>
                <w:lang w:val="en-US" w:eastAsia="zh-CN"/>
              </w:rPr>
            </w:pPr>
            <w:r>
              <w:rPr>
                <w:rFonts w:ascii="仿宋" w:hAnsi="仿宋" w:eastAsia="仿宋"/>
                <w:color w:val="auto"/>
                <w:sz w:val="24"/>
                <w:highlight w:val="none"/>
              </w:rPr>
              <w:t>投标地点：</w:t>
            </w:r>
            <w:r>
              <w:rPr>
                <w:rFonts w:hint="eastAsia" w:ascii="仿宋" w:hAnsi="仿宋" w:eastAsia="仿宋"/>
                <w:color w:val="auto"/>
                <w:sz w:val="24"/>
                <w:highlight w:val="none"/>
                <w:lang w:eastAsia="zh-CN"/>
              </w:rPr>
              <w:t>义乌市稠城街道社区卫生服务中心</w:t>
            </w:r>
            <w:r>
              <w:rPr>
                <w:rFonts w:hint="eastAsia" w:ascii="仿宋" w:hAnsi="仿宋" w:eastAsia="仿宋"/>
                <w:color w:val="auto"/>
                <w:sz w:val="24"/>
                <w:highlight w:val="none"/>
                <w:lang w:val="en-US" w:eastAsia="zh-CN"/>
              </w:rPr>
              <w:t>门诊楼四楼总务科</w:t>
            </w:r>
          </w:p>
        </w:tc>
      </w:tr>
      <w:tr w14:paraId="47B1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7" w:type="dxa"/>
            <w:vAlign w:val="center"/>
          </w:tcPr>
          <w:p w14:paraId="6D7F4FA0">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1971" w:type="dxa"/>
            <w:vAlign w:val="center"/>
          </w:tcPr>
          <w:p w14:paraId="3431E47B">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开标时间</w:t>
            </w:r>
          </w:p>
          <w:p w14:paraId="30169517">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ascii="仿宋" w:hAnsi="仿宋" w:eastAsia="仿宋"/>
                <w:color w:val="auto"/>
                <w:sz w:val="24"/>
                <w:szCs w:val="24"/>
                <w:highlight w:val="none"/>
              </w:rPr>
              <w:t>开标地点</w:t>
            </w:r>
          </w:p>
        </w:tc>
        <w:tc>
          <w:tcPr>
            <w:tcW w:w="5750" w:type="dxa"/>
            <w:vAlign w:val="center"/>
          </w:tcPr>
          <w:p w14:paraId="4BB5290D">
            <w:pPr>
              <w:keepNext w:val="0"/>
              <w:keepLines w:val="0"/>
              <w:pageBreakBefore w:val="0"/>
              <w:widowControl/>
              <w:kinsoku/>
              <w:wordWrap/>
              <w:overflowPunct/>
              <w:topLinePunct w:val="0"/>
              <w:autoSpaceDE/>
              <w:autoSpaceDN/>
              <w:bidi w:val="0"/>
              <w:snapToGrid/>
              <w:spacing w:before="54" w:after="54" w:line="240" w:lineRule="auto"/>
              <w:ind w:left="54" w:right="54"/>
              <w:outlineLvl w:val="0"/>
              <w:rPr>
                <w:rFonts w:ascii="仿宋" w:hAnsi="仿宋" w:eastAsia="仿宋" w:cs="宋体"/>
                <w:color w:val="auto"/>
                <w:kern w:val="0"/>
                <w:sz w:val="24"/>
                <w:highlight w:val="none"/>
              </w:rPr>
            </w:pPr>
            <w:r>
              <w:rPr>
                <w:rFonts w:ascii="仿宋" w:hAnsi="仿宋" w:eastAsia="仿宋"/>
                <w:color w:val="auto"/>
                <w:sz w:val="24"/>
                <w:highlight w:val="none"/>
              </w:rPr>
              <w:t>开标时间</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eastAsia="zh-CN"/>
              </w:rPr>
              <w:t>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月</w:t>
            </w:r>
            <w:r>
              <w:rPr>
                <w:rFonts w:hint="eastAsia" w:ascii="仿宋" w:hAnsi="仿宋" w:eastAsia="仿宋"/>
                <w:color w:val="auto"/>
                <w:sz w:val="24"/>
                <w:highlight w:val="none"/>
                <w:lang w:val="en-US" w:eastAsia="zh-CN"/>
              </w:rPr>
              <w:t>18</w:t>
            </w:r>
            <w:r>
              <w:rPr>
                <w:rFonts w:hint="eastAsia" w:ascii="仿宋" w:hAnsi="仿宋" w:eastAsia="仿宋"/>
                <w:color w:val="auto"/>
                <w:sz w:val="24"/>
                <w:highlight w:val="none"/>
                <w:lang w:eastAsia="zh-CN"/>
              </w:rPr>
              <w:t>日</w:t>
            </w:r>
            <w:r>
              <w:rPr>
                <w:rFonts w:hint="eastAsia" w:ascii="仿宋" w:hAnsi="仿宋" w:eastAsia="仿宋" w:cs="宋体"/>
                <w:color w:val="auto"/>
                <w:kern w:val="0"/>
                <w:sz w:val="24"/>
                <w:highlight w:val="none"/>
                <w:lang w:val="en-US" w:eastAsia="zh-CN"/>
              </w:rPr>
              <w:t>14</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w:t>
            </w:r>
            <w:r>
              <w:rPr>
                <w:rFonts w:ascii="仿宋" w:hAnsi="仿宋" w:eastAsia="仿宋" w:cs="宋体"/>
                <w:color w:val="auto"/>
                <w:kern w:val="0"/>
                <w:sz w:val="24"/>
                <w:highlight w:val="none"/>
              </w:rPr>
              <w:t>（北京时间）</w:t>
            </w:r>
          </w:p>
          <w:p w14:paraId="0D622429">
            <w:pPr>
              <w:keepNext w:val="0"/>
              <w:keepLines w:val="0"/>
              <w:pageBreakBefore w:val="0"/>
              <w:kinsoku/>
              <w:wordWrap/>
              <w:overflowPunct/>
              <w:topLinePunct w:val="0"/>
              <w:autoSpaceDE/>
              <w:autoSpaceDN/>
              <w:bidi w:val="0"/>
              <w:adjustRightInd w:val="0"/>
              <w:snapToGrid/>
              <w:spacing w:before="96" w:after="96" w:line="240" w:lineRule="auto"/>
              <w:textAlignment w:val="bottom"/>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开标</w:t>
            </w:r>
            <w:r>
              <w:rPr>
                <w:rFonts w:ascii="仿宋" w:hAnsi="仿宋" w:eastAsia="仿宋"/>
                <w:color w:val="auto"/>
                <w:sz w:val="24"/>
                <w:highlight w:val="none"/>
              </w:rPr>
              <w:t>地点：</w:t>
            </w:r>
            <w:r>
              <w:rPr>
                <w:rFonts w:hint="eastAsia" w:ascii="仿宋" w:hAnsi="仿宋" w:eastAsia="仿宋"/>
                <w:color w:val="auto"/>
                <w:sz w:val="24"/>
                <w:highlight w:val="none"/>
                <w:lang w:eastAsia="zh-CN"/>
              </w:rPr>
              <w:t>义乌市稠城街道社区卫生服务中心</w:t>
            </w:r>
            <w:r>
              <w:rPr>
                <w:rFonts w:hint="eastAsia" w:ascii="仿宋" w:hAnsi="仿宋" w:eastAsia="仿宋"/>
                <w:color w:val="auto"/>
                <w:sz w:val="24"/>
                <w:highlight w:val="none"/>
                <w:lang w:val="en-US" w:eastAsia="zh-CN"/>
              </w:rPr>
              <w:t>门诊楼四楼会议室</w:t>
            </w:r>
          </w:p>
        </w:tc>
      </w:tr>
      <w:tr w14:paraId="5C68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57" w:type="dxa"/>
            <w:vAlign w:val="center"/>
          </w:tcPr>
          <w:p w14:paraId="446E5D4B">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1971" w:type="dxa"/>
            <w:vAlign w:val="center"/>
          </w:tcPr>
          <w:p w14:paraId="1BC18660">
            <w:pPr>
              <w:pStyle w:val="7"/>
              <w:keepNext w:val="0"/>
              <w:keepLines w:val="0"/>
              <w:pageBreakBefore w:val="0"/>
              <w:kinsoku/>
              <w:wordWrap/>
              <w:overflowPunct/>
              <w:topLinePunct w:val="0"/>
              <w:autoSpaceDE/>
              <w:autoSpaceDN/>
              <w:bidi w:val="0"/>
              <w:snapToGrid/>
              <w:spacing w:line="24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评标办法</w:t>
            </w:r>
          </w:p>
        </w:tc>
        <w:tc>
          <w:tcPr>
            <w:tcW w:w="5750" w:type="dxa"/>
            <w:vAlign w:val="center"/>
          </w:tcPr>
          <w:p w14:paraId="65E870CD">
            <w:pPr>
              <w:pStyle w:val="7"/>
              <w:keepNext w:val="0"/>
              <w:keepLines w:val="0"/>
              <w:pageBreakBefore w:val="0"/>
              <w:kinsoku/>
              <w:wordWrap/>
              <w:overflowPunct/>
              <w:topLinePunct w:val="0"/>
              <w:autoSpaceDE/>
              <w:autoSpaceDN/>
              <w:bidi w:val="0"/>
              <w:snapToGrid/>
              <w:spacing w:line="240" w:lineRule="auto"/>
              <w:ind w:firstLine="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综合评分法</w:t>
            </w:r>
          </w:p>
        </w:tc>
      </w:tr>
    </w:tbl>
    <w:p w14:paraId="37F51AF4">
      <w:pPr>
        <w:rPr>
          <w:rFonts w:hint="eastAsia"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br w:type="page"/>
      </w:r>
    </w:p>
    <w:p w14:paraId="3D0ED06F">
      <w:pPr>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zh-CN"/>
        </w:rPr>
        <w:t>报价要求</w:t>
      </w:r>
    </w:p>
    <w:p w14:paraId="4198A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投标人应根据本招标文件和招标人所提供的相关资料及招标代理范围、内容，按照国家有关取费标准，结合自身能力和力量的投入进行竞争报价。</w:t>
      </w:r>
    </w:p>
    <w:p w14:paraId="303CB8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b/>
          <w:color w:val="auto"/>
          <w:sz w:val="24"/>
          <w:highlight w:val="none"/>
        </w:rPr>
      </w:pPr>
      <w:r>
        <w:rPr>
          <w:rFonts w:hint="eastAsia" w:ascii="仿宋" w:hAnsi="仿宋" w:eastAsia="仿宋"/>
          <w:b/>
          <w:color w:val="auto"/>
          <w:sz w:val="24"/>
          <w:highlight w:val="none"/>
        </w:rPr>
        <w:t>1）招标代理服务费按计价格</w:t>
      </w:r>
      <w:r>
        <w:rPr>
          <w:rFonts w:hint="eastAsia" w:ascii="仿宋" w:hAnsi="仿宋" w:eastAsia="仿宋"/>
          <w:b/>
          <w:color w:val="auto"/>
          <w:sz w:val="24"/>
          <w:highlight w:val="none"/>
          <w:lang w:eastAsia="zh-CN"/>
        </w:rPr>
        <w:t>〔2002〕1980号</w:t>
      </w:r>
      <w:r>
        <w:rPr>
          <w:rFonts w:hint="eastAsia" w:ascii="仿宋" w:hAnsi="仿宋" w:eastAsia="仿宋"/>
          <w:b/>
          <w:color w:val="auto"/>
          <w:sz w:val="24"/>
          <w:highlight w:val="none"/>
        </w:rPr>
        <w:t>文件的收费标准计算，投标单位报</w:t>
      </w:r>
      <w:r>
        <w:rPr>
          <w:rFonts w:hint="eastAsia" w:ascii="仿宋" w:hAnsi="仿宋" w:eastAsia="仿宋"/>
          <w:b/>
          <w:color w:val="auto"/>
          <w:sz w:val="24"/>
          <w:highlight w:val="none"/>
          <w:lang w:eastAsia="zh-CN"/>
        </w:rPr>
        <w:t>结算率</w:t>
      </w:r>
      <w:r>
        <w:rPr>
          <w:rFonts w:hint="eastAsia" w:ascii="仿宋" w:hAnsi="仿宋" w:eastAsia="仿宋"/>
          <w:b/>
          <w:color w:val="auto"/>
          <w:sz w:val="24"/>
          <w:highlight w:val="none"/>
        </w:rPr>
        <w:t>（%），招标代理服务费=计价格</w:t>
      </w:r>
      <w:r>
        <w:rPr>
          <w:rFonts w:hint="eastAsia" w:ascii="仿宋" w:hAnsi="仿宋" w:eastAsia="仿宋"/>
          <w:b/>
          <w:color w:val="auto"/>
          <w:sz w:val="24"/>
          <w:highlight w:val="none"/>
          <w:lang w:eastAsia="zh-CN"/>
        </w:rPr>
        <w:t>〔2002〕1980号</w:t>
      </w:r>
      <w:r>
        <w:rPr>
          <w:rFonts w:hint="eastAsia" w:ascii="仿宋" w:hAnsi="仿宋" w:eastAsia="仿宋"/>
          <w:b/>
          <w:color w:val="auto"/>
          <w:sz w:val="24"/>
          <w:highlight w:val="none"/>
        </w:rPr>
        <w:t>文件的收费标准*</w:t>
      </w:r>
      <w:r>
        <w:rPr>
          <w:rFonts w:hint="eastAsia" w:ascii="仿宋" w:hAnsi="仿宋" w:eastAsia="仿宋" w:cs="宋体"/>
          <w:b/>
          <w:bCs w:val="0"/>
          <w:color w:val="auto"/>
          <w:sz w:val="24"/>
          <w:szCs w:val="24"/>
          <w:highlight w:val="none"/>
          <w:lang w:eastAsia="zh-CN"/>
        </w:rPr>
        <w:t>结算率</w:t>
      </w:r>
      <w:r>
        <w:rPr>
          <w:rFonts w:hint="eastAsia" w:ascii="仿宋" w:hAnsi="仿宋" w:eastAsia="仿宋"/>
          <w:b/>
          <w:color w:val="auto"/>
          <w:sz w:val="24"/>
          <w:highlight w:val="none"/>
        </w:rPr>
        <w:t xml:space="preserve"> ；</w:t>
      </w:r>
    </w:p>
    <w:p w14:paraId="7504DA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color w:val="auto"/>
          <w:sz w:val="24"/>
          <w:highlight w:val="none"/>
        </w:rPr>
      </w:pPr>
      <w:r>
        <w:rPr>
          <w:rFonts w:hint="eastAsia" w:ascii="仿宋" w:hAnsi="仿宋" w:eastAsia="仿宋"/>
          <w:b/>
          <w:color w:val="auto"/>
          <w:sz w:val="24"/>
          <w:highlight w:val="none"/>
        </w:rPr>
        <w:t>2）服务费按单个标段计取，计算基数均为该标段的中标价</w:t>
      </w:r>
      <w:r>
        <w:rPr>
          <w:rFonts w:hint="eastAsia" w:ascii="仿宋" w:hAnsi="仿宋" w:eastAsia="仿宋"/>
          <w:b/>
          <w:color w:val="auto"/>
          <w:sz w:val="24"/>
          <w:highlight w:val="none"/>
          <w:lang w:eastAsia="zh-CN"/>
        </w:rPr>
        <w:t>；</w:t>
      </w:r>
    </w:p>
    <w:p w14:paraId="34A782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auto"/>
          <w:sz w:val="24"/>
          <w:szCs w:val="20"/>
          <w:highlight w:val="none"/>
          <w:lang w:val="en-US" w:eastAsia="zh-CN"/>
        </w:rPr>
      </w:pPr>
      <w:r>
        <w:rPr>
          <w:rFonts w:hint="eastAsia" w:ascii="仿宋" w:hAnsi="仿宋" w:eastAsia="仿宋"/>
          <w:b/>
          <w:color w:val="auto"/>
          <w:sz w:val="24"/>
          <w:highlight w:val="none"/>
          <w:lang w:val="en-US" w:eastAsia="zh-CN"/>
        </w:rPr>
        <w:t>3）</w:t>
      </w:r>
      <w:r>
        <w:rPr>
          <w:rFonts w:hint="eastAsia" w:ascii="仿宋" w:hAnsi="仿宋" w:eastAsia="仿宋" w:cs="仿宋"/>
          <w:b/>
          <w:bCs w:val="0"/>
          <w:color w:val="auto"/>
          <w:sz w:val="24"/>
          <w:szCs w:val="20"/>
          <w:highlight w:val="none"/>
          <w:lang w:val="en-US" w:eastAsia="zh-CN"/>
        </w:rPr>
        <w:t>为保证服务质量，结算率须在70%—100%进行报价；</w:t>
      </w:r>
    </w:p>
    <w:p w14:paraId="277AA5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）特殊项目由招标人和投标人协商制定招标代理服务费。</w:t>
      </w:r>
    </w:p>
    <w:p w14:paraId="4EF14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二、报价中应包括为完成服务内容可能发生的各项费用，包括</w:t>
      </w:r>
      <w:r>
        <w:rPr>
          <w:rFonts w:hint="eastAsia" w:ascii="仿宋" w:hAnsi="仿宋" w:eastAsia="仿宋"/>
          <w:color w:val="auto"/>
          <w:sz w:val="24"/>
          <w:highlight w:val="none"/>
          <w:lang w:eastAsia="zh-CN"/>
        </w:rPr>
        <w:t>：</w:t>
      </w:r>
    </w:p>
    <w:p w14:paraId="7D0A82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专家评审费（含招标文件评审费，若有），由【服务供应商】支付； </w:t>
      </w:r>
    </w:p>
    <w:p w14:paraId="0A3BC6DF">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招标公告费、场租费，由【服务供应商】支付，若在报纸上刊登招标公告的，其报纸公告刊登费由【招标人】支付；</w:t>
      </w:r>
    </w:p>
    <w:p w14:paraId="236B1AF0">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同个项目一次招标不成功的，再次招标产生的各类相关费用（评标专家费、交易中心场地费、公告和信息发布费等）由招标代理机构自行承担。</w:t>
      </w:r>
    </w:p>
    <w:p w14:paraId="163B8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包括但不仅限于如人工、材料、交通、通讯、设备（仪器）、劳力、利润、税收等其他一切费用。</w:t>
      </w:r>
    </w:p>
    <w:p w14:paraId="31B51B5C">
      <w:pPr>
        <w:pStyle w:val="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color w:val="auto"/>
          <w:kern w:val="2"/>
          <w:sz w:val="24"/>
          <w:szCs w:val="20"/>
          <w:highlight w:val="none"/>
          <w:lang w:val="en-US" w:eastAsia="zh-CN" w:bidi="ar-SA"/>
        </w:rPr>
      </w:pPr>
      <w:r>
        <w:rPr>
          <w:rFonts w:hint="eastAsia" w:ascii="仿宋" w:hAnsi="仿宋" w:eastAsia="仿宋" w:cs="Times New Roman"/>
          <w:b/>
          <w:bCs/>
          <w:color w:val="auto"/>
          <w:kern w:val="2"/>
          <w:sz w:val="24"/>
          <w:szCs w:val="20"/>
          <w:highlight w:val="none"/>
          <w:lang w:val="en-US" w:eastAsia="zh-CN" w:bidi="ar-SA"/>
        </w:rPr>
        <w:t>三、招标代理服务内容和要求（包括但不限于）：</w:t>
      </w:r>
    </w:p>
    <w:p w14:paraId="5B693896">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.1代拟招标方案</w:t>
      </w:r>
    </w:p>
    <w:p w14:paraId="2C603C51">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.2向招投标监督管理部门提出招标申请，发布招标公告</w:t>
      </w:r>
    </w:p>
    <w:p w14:paraId="6E50F034">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.3编制资格预审文件</w:t>
      </w:r>
    </w:p>
    <w:p w14:paraId="23C57AEC">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.4组织接收投标申请人报名</w:t>
      </w:r>
    </w:p>
    <w:p w14:paraId="3E5BCCB3">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.5审查潜在投标人资格，确定潜在投标人</w:t>
      </w:r>
    </w:p>
    <w:p w14:paraId="1C80CB2D">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.6编制招标文件</w:t>
      </w:r>
    </w:p>
    <w:p w14:paraId="13EAD675">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 xml:space="preserve">.7组织答疑 </w:t>
      </w:r>
    </w:p>
    <w:p w14:paraId="3352A43A">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.8组织开标、评标</w:t>
      </w:r>
    </w:p>
    <w:p w14:paraId="39EA2F89">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.9草拟合同并协助合同谈判</w:t>
      </w:r>
    </w:p>
    <w:p w14:paraId="150EF887">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.10编制招投标情况书面报告</w:t>
      </w:r>
    </w:p>
    <w:p w14:paraId="05B9AD66">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w:t>
      </w:r>
      <w:r>
        <w:rPr>
          <w:rFonts w:hint="eastAsia" w:ascii="仿宋" w:hAnsi="仿宋" w:eastAsia="仿宋" w:cs="Times New Roman"/>
          <w:color w:val="auto"/>
          <w:sz w:val="24"/>
          <w:szCs w:val="20"/>
          <w:highlight w:val="none"/>
        </w:rPr>
        <w:t>.11负责起草询标纪要，分析投标文件，负责询标会议的会务安排及有关事项的落实</w:t>
      </w:r>
    </w:p>
    <w:p w14:paraId="37416FD0">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ascii="仿宋" w:hAnsi="仿宋" w:eastAsia="仿宋" w:cs="Times New Roman"/>
          <w:color w:val="auto"/>
          <w:sz w:val="24"/>
          <w:szCs w:val="20"/>
          <w:highlight w:val="none"/>
        </w:rPr>
        <w:t>3.12</w:t>
      </w:r>
      <w:r>
        <w:rPr>
          <w:rFonts w:hint="eastAsia" w:ascii="仿宋" w:hAnsi="仿宋" w:eastAsia="仿宋" w:cs="Times New Roman"/>
          <w:color w:val="auto"/>
          <w:sz w:val="24"/>
          <w:szCs w:val="20"/>
          <w:highlight w:val="none"/>
        </w:rPr>
        <w:t>与招标采购有关的</w:t>
      </w:r>
      <w:r>
        <w:rPr>
          <w:rFonts w:hint="eastAsia" w:ascii="仿宋" w:hAnsi="仿宋" w:eastAsia="仿宋" w:cs="Times New Roman"/>
          <w:color w:val="auto"/>
          <w:sz w:val="24"/>
          <w:szCs w:val="20"/>
          <w:highlight w:val="none"/>
          <w:lang w:eastAsia="zh-CN"/>
        </w:rPr>
        <w:t>其他</w:t>
      </w:r>
      <w:r>
        <w:rPr>
          <w:rFonts w:hint="eastAsia" w:ascii="仿宋" w:hAnsi="仿宋" w:eastAsia="仿宋" w:cs="Times New Roman"/>
          <w:color w:val="auto"/>
          <w:sz w:val="24"/>
          <w:szCs w:val="20"/>
          <w:highlight w:val="none"/>
        </w:rPr>
        <w:t>事宜。</w:t>
      </w:r>
    </w:p>
    <w:p w14:paraId="6FF03D89">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四、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60BDCBA">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bookmarkStart w:id="0" w:name="_Toc91899873"/>
      <w:r>
        <w:rPr>
          <w:rFonts w:hint="eastAsia" w:ascii="仿宋" w:hAnsi="仿宋" w:eastAsia="仿宋" w:cs="Times New Roman"/>
          <w:color w:val="auto"/>
          <w:sz w:val="24"/>
          <w:szCs w:val="20"/>
          <w:highlight w:val="none"/>
        </w:rPr>
        <w:t>五、采购方式</w:t>
      </w:r>
      <w:bookmarkEnd w:id="0"/>
    </w:p>
    <w:p w14:paraId="4955453E">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单位自行组织。</w:t>
      </w:r>
      <w:bookmarkStart w:id="1" w:name="_Hlt74388212"/>
      <w:bookmarkEnd w:id="1"/>
      <w:bookmarkStart w:id="2" w:name="_Hlt68516771"/>
      <w:bookmarkEnd w:id="2"/>
    </w:p>
    <w:p w14:paraId="1A537990">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bookmarkStart w:id="3" w:name="_Toc91899877"/>
      <w:bookmarkStart w:id="4" w:name="_Hlt74730303"/>
      <w:r>
        <w:rPr>
          <w:rFonts w:hint="eastAsia" w:ascii="仿宋" w:hAnsi="仿宋" w:eastAsia="仿宋" w:cs="Times New Roman"/>
          <w:color w:val="auto"/>
          <w:sz w:val="24"/>
          <w:szCs w:val="20"/>
          <w:highlight w:val="none"/>
        </w:rPr>
        <w:t>六、投标费用</w:t>
      </w:r>
      <w:bookmarkEnd w:id="3"/>
    </w:p>
    <w:bookmarkEnd w:id="4"/>
    <w:p w14:paraId="7B9197B8">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投标人需自行承担涉及投标的一切费用。</w:t>
      </w:r>
    </w:p>
    <w:p w14:paraId="220CFB8C">
      <w:pPr>
        <w:spacing w:line="360" w:lineRule="auto"/>
        <w:rPr>
          <w:rFonts w:ascii="仿宋" w:hAnsi="仿宋" w:eastAsia="仿宋"/>
          <w:color w:val="auto"/>
          <w:sz w:val="24"/>
          <w:highlight w:val="none"/>
        </w:rPr>
      </w:pPr>
    </w:p>
    <w:p w14:paraId="63CA4851">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09041640">
      <w:pPr>
        <w:spacing w:line="360" w:lineRule="auto"/>
        <w:ind w:firstLine="321" w:firstLineChars="100"/>
        <w:jc w:val="center"/>
        <w:rPr>
          <w:rFonts w:hint="default" w:ascii="仿宋" w:hAnsi="仿宋" w:eastAsia="仿宋"/>
          <w:color w:val="auto"/>
          <w:sz w:val="24"/>
          <w:highlight w:val="none"/>
          <w:lang w:val="en-US" w:eastAsia="zh-CN"/>
        </w:rPr>
      </w:pPr>
      <w:r>
        <w:rPr>
          <w:rFonts w:hint="eastAsia" w:ascii="仿宋" w:hAnsi="仿宋" w:eastAsia="仿宋"/>
          <w:b/>
          <w:color w:val="auto"/>
          <w:sz w:val="32"/>
          <w:szCs w:val="32"/>
          <w:highlight w:val="none"/>
        </w:rPr>
        <w:t>招标</w:t>
      </w:r>
      <w:r>
        <w:rPr>
          <w:rFonts w:hint="eastAsia" w:ascii="仿宋" w:hAnsi="仿宋" w:eastAsia="仿宋"/>
          <w:b/>
          <w:color w:val="auto"/>
          <w:sz w:val="32"/>
          <w:szCs w:val="32"/>
          <w:highlight w:val="none"/>
          <w:lang w:val="en-US" w:eastAsia="zh-CN"/>
        </w:rPr>
        <w:t>项目要求</w:t>
      </w:r>
    </w:p>
    <w:p w14:paraId="6BAF6BD4">
      <w:pPr>
        <w:spacing w:line="440" w:lineRule="exact"/>
        <w:ind w:firstLine="482" w:firstLineChars="200"/>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eastAsia="zh-CN"/>
        </w:rPr>
        <w:t>一般货物</w:t>
      </w:r>
      <w:r>
        <w:rPr>
          <w:rFonts w:hint="eastAsia" w:ascii="仿宋" w:hAnsi="仿宋" w:eastAsia="仿宋"/>
          <w:b/>
          <w:bCs/>
          <w:color w:val="auto"/>
          <w:sz w:val="24"/>
          <w:highlight w:val="none"/>
          <w:lang w:val="en-US" w:eastAsia="zh-CN"/>
        </w:rPr>
        <w:t>类</w:t>
      </w:r>
      <w:r>
        <w:rPr>
          <w:rFonts w:hint="eastAsia" w:ascii="仿宋" w:hAnsi="仿宋" w:eastAsia="仿宋"/>
          <w:b/>
          <w:bCs/>
          <w:color w:val="auto"/>
          <w:sz w:val="24"/>
          <w:highlight w:val="none"/>
          <w:lang w:eastAsia="zh-CN"/>
        </w:rPr>
        <w:t>招标代理服务，</w:t>
      </w:r>
      <w:r>
        <w:rPr>
          <w:rFonts w:hint="eastAsia" w:ascii="仿宋" w:hAnsi="仿宋" w:eastAsia="仿宋" w:cs="Times New Roman"/>
          <w:color w:val="auto"/>
          <w:sz w:val="24"/>
          <w:highlight w:val="none"/>
        </w:rPr>
        <w:t>不含纳入政府集中采购的项目，主要包括医院相关医疗设备、后勤相关设备、用品</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计算机类硬件设备及软件系统等项目。</w:t>
      </w:r>
    </w:p>
    <w:p w14:paraId="0495A828">
      <w:pPr>
        <w:spacing w:line="440" w:lineRule="exact"/>
        <w:ind w:firstLine="482" w:firstLineChars="200"/>
        <w:rPr>
          <w:rFonts w:hint="eastAsia" w:ascii="仿宋" w:hAnsi="仿宋" w:eastAsia="仿宋"/>
          <w:b w:val="0"/>
          <w:bCs w:val="0"/>
          <w:color w:val="auto"/>
          <w:sz w:val="24"/>
          <w:highlight w:val="none"/>
          <w:lang w:eastAsia="zh-CN"/>
        </w:rPr>
      </w:pPr>
      <w:r>
        <w:rPr>
          <w:rFonts w:hint="eastAsia" w:ascii="仿宋" w:hAnsi="仿宋" w:eastAsia="仿宋"/>
          <w:b/>
          <w:bCs/>
          <w:color w:val="auto"/>
          <w:sz w:val="24"/>
          <w:highlight w:val="none"/>
          <w:lang w:eastAsia="zh-CN"/>
        </w:rPr>
        <w:t>服务类招标代理服务</w:t>
      </w:r>
      <w:r>
        <w:rPr>
          <w:rFonts w:hint="eastAsia" w:ascii="仿宋" w:hAnsi="仿宋" w:eastAsia="仿宋"/>
          <w:color w:val="auto"/>
          <w:sz w:val="24"/>
          <w:highlight w:val="none"/>
        </w:rPr>
        <w:t>，不含纳入政府集中采购的项目，主要包括</w:t>
      </w:r>
      <w:r>
        <w:rPr>
          <w:rFonts w:hint="eastAsia" w:ascii="仿宋" w:hAnsi="仿宋" w:eastAsia="仿宋"/>
          <w:color w:val="auto"/>
          <w:sz w:val="24"/>
          <w:highlight w:val="none"/>
          <w:lang w:val="en-US" w:eastAsia="zh-CN"/>
        </w:rPr>
        <w:t>医院</w:t>
      </w:r>
      <w:r>
        <w:rPr>
          <w:rFonts w:hint="eastAsia" w:ascii="仿宋" w:hAnsi="仿宋" w:eastAsia="仿宋"/>
          <w:color w:val="auto"/>
          <w:sz w:val="24"/>
          <w:highlight w:val="none"/>
        </w:rPr>
        <w:t>医疗后勤相关服务等项目。</w:t>
      </w:r>
    </w:p>
    <w:p w14:paraId="22CFEB17">
      <w:pPr>
        <w:spacing w:line="360" w:lineRule="auto"/>
        <w:ind w:firstLine="480" w:firstLineChars="200"/>
        <w:rPr>
          <w:rFonts w:ascii="仿宋" w:hAnsi="仿宋" w:eastAsia="仿宋"/>
          <w:color w:val="auto"/>
          <w:sz w:val="24"/>
          <w:highlight w:val="none"/>
          <w:u w:val="single"/>
        </w:rPr>
      </w:pPr>
      <w:r>
        <w:rPr>
          <w:rFonts w:hint="eastAsia" w:ascii="仿宋" w:hAnsi="仿宋" w:eastAsia="仿宋"/>
          <w:color w:val="auto"/>
          <w:sz w:val="24"/>
          <w:highlight w:val="none"/>
        </w:rPr>
        <w:t>本项目投标人负责实施的事项包含并不限于以下内容：</w:t>
      </w:r>
      <w:r>
        <w:rPr>
          <w:rFonts w:hint="eastAsia" w:ascii="仿宋" w:hAnsi="仿宋" w:eastAsia="仿宋"/>
          <w:color w:val="auto"/>
          <w:sz w:val="24"/>
          <w:highlight w:val="none"/>
          <w:u w:val="single"/>
        </w:rPr>
        <w:t>编制招标（或谈判、</w:t>
      </w:r>
    </w:p>
    <w:p w14:paraId="68DB1A00">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u w:val="single"/>
        </w:rPr>
        <w:t>询价）文件、向招投标监督管理部门提交招标申请、协助招标人审查投标人资格、制定评标办法和定标程序、发布采购信息、报名、组织投标人踏勘现场和答疑、整理发放答疑纪要、代收代退投标保证金、组织开标、评标和定标、提交招投标书面情况报告、协助合同的签订、组织实施采购程序、支付专家费等。</w:t>
      </w:r>
    </w:p>
    <w:p w14:paraId="20FF6C6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招标代理服务费由中标人或成交人按计费标准直接向中标人支付。</w:t>
      </w:r>
      <w:r>
        <w:rPr>
          <w:rFonts w:ascii="仿宋" w:hAnsi="仿宋" w:eastAsia="仿宋"/>
          <w:color w:val="auto"/>
          <w:sz w:val="24"/>
          <w:highlight w:val="none"/>
        </w:rPr>
        <w:t xml:space="preserve"> </w:t>
      </w:r>
    </w:p>
    <w:p w14:paraId="212372D8">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招标代理服务收费计价基准</w:t>
      </w:r>
    </w:p>
    <w:p w14:paraId="6CEBF792">
      <w:pPr>
        <w:tabs>
          <w:tab w:val="left" w:pos="4125"/>
        </w:tabs>
        <w:spacing w:line="360" w:lineRule="auto"/>
        <w:jc w:val="center"/>
        <w:rPr>
          <w:rFonts w:ascii="仿宋" w:hAnsi="仿宋" w:eastAsia="仿宋"/>
          <w:color w:val="auto"/>
          <w:sz w:val="24"/>
          <w:highlight w:val="none"/>
        </w:rPr>
      </w:pPr>
      <w:r>
        <w:rPr>
          <w:rFonts w:hint="eastAsia" w:eastAsia="仿宋_GB2312"/>
          <w:color w:val="auto"/>
          <w:sz w:val="28"/>
          <w:highlight w:val="none"/>
        </w:rPr>
        <w:t>招标代理服务收费标准</w:t>
      </w:r>
      <w:r>
        <w:rPr>
          <w:rFonts w:hint="eastAsia" w:eastAsia="仿宋_GB2312"/>
          <w:color w:val="auto"/>
          <w:sz w:val="28"/>
          <w:highlight w:val="none"/>
          <w:lang w:eastAsia="zh-CN"/>
        </w:rPr>
        <w:t>〔2002〕1980号</w:t>
      </w:r>
      <w:r>
        <w:rPr>
          <w:rFonts w:hint="eastAsia" w:eastAsia="仿宋_GB2312"/>
          <w:color w:val="auto"/>
          <w:sz w:val="28"/>
          <w:highlight w:val="none"/>
        </w:rPr>
        <w:t>文件</w:t>
      </w:r>
    </w:p>
    <w:tbl>
      <w:tblPr>
        <w:tblStyle w:val="10"/>
        <w:tblW w:w="871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0"/>
        <w:gridCol w:w="2155"/>
        <w:gridCol w:w="1989"/>
        <w:gridCol w:w="2155"/>
      </w:tblGrid>
      <w:tr w14:paraId="0F5745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trHeight w:val="479" w:hRule="atLeast"/>
          <w:jc w:val="center"/>
        </w:trPr>
        <w:tc>
          <w:tcPr>
            <w:tcW w:w="2420" w:type="dxa"/>
            <w:vMerge w:val="restart"/>
            <w:vAlign w:val="center"/>
          </w:tcPr>
          <w:p w14:paraId="290EF5E0">
            <w:pPr>
              <w:tabs>
                <w:tab w:val="left" w:pos="0"/>
              </w:tabs>
              <w:spacing w:line="360" w:lineRule="auto"/>
              <w:jc w:val="center"/>
              <w:rPr>
                <w:caps/>
                <w:color w:val="auto"/>
                <w:spacing w:val="20"/>
                <w:sz w:val="24"/>
                <w:highlight w:val="none"/>
              </w:rPr>
            </w:pPr>
            <w:r>
              <w:rPr>
                <w:color w:val="auto"/>
                <w:spacing w:val="20"/>
                <w:sz w:val="24"/>
                <w:highlight w:val="none"/>
              </w:rPr>
              <w:t>中标金额（万元）</w:t>
            </w:r>
          </w:p>
        </w:tc>
        <w:tc>
          <w:tcPr>
            <w:tcW w:w="6299" w:type="dxa"/>
            <w:gridSpan w:val="3"/>
            <w:tcBorders>
              <w:bottom w:val="single" w:color="auto" w:sz="4" w:space="0"/>
            </w:tcBorders>
            <w:vAlign w:val="center"/>
          </w:tcPr>
          <w:p w14:paraId="3C36574C">
            <w:pPr>
              <w:tabs>
                <w:tab w:val="left" w:pos="0"/>
              </w:tabs>
              <w:spacing w:line="360" w:lineRule="auto"/>
              <w:jc w:val="center"/>
              <w:rPr>
                <w:caps/>
                <w:color w:val="auto"/>
                <w:spacing w:val="20"/>
                <w:sz w:val="24"/>
                <w:highlight w:val="none"/>
              </w:rPr>
            </w:pPr>
            <w:r>
              <w:rPr>
                <w:color w:val="auto"/>
                <w:spacing w:val="20"/>
                <w:sz w:val="24"/>
                <w:highlight w:val="none"/>
              </w:rPr>
              <w:t>服务类型</w:t>
            </w:r>
          </w:p>
        </w:tc>
      </w:tr>
      <w:tr w14:paraId="3E4F32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6" w:hRule="atLeast"/>
          <w:jc w:val="center"/>
        </w:trPr>
        <w:tc>
          <w:tcPr>
            <w:tcW w:w="2420" w:type="dxa"/>
            <w:vMerge w:val="continue"/>
            <w:vAlign w:val="center"/>
          </w:tcPr>
          <w:p w14:paraId="139DE55D">
            <w:pPr>
              <w:tabs>
                <w:tab w:val="left" w:pos="0"/>
              </w:tabs>
              <w:spacing w:line="360" w:lineRule="auto"/>
              <w:jc w:val="center"/>
              <w:rPr>
                <w:color w:val="auto"/>
                <w:spacing w:val="20"/>
                <w:sz w:val="24"/>
                <w:highlight w:val="none"/>
              </w:rPr>
            </w:pPr>
          </w:p>
        </w:tc>
        <w:tc>
          <w:tcPr>
            <w:tcW w:w="2155" w:type="dxa"/>
            <w:tcBorders>
              <w:top w:val="single" w:color="auto" w:sz="4" w:space="0"/>
              <w:bottom w:val="single" w:color="auto" w:sz="4" w:space="0"/>
            </w:tcBorders>
            <w:vAlign w:val="center"/>
          </w:tcPr>
          <w:p w14:paraId="510512E7">
            <w:pPr>
              <w:tabs>
                <w:tab w:val="left" w:pos="0"/>
              </w:tabs>
              <w:spacing w:line="360" w:lineRule="auto"/>
              <w:jc w:val="center"/>
              <w:rPr>
                <w:caps/>
                <w:color w:val="auto"/>
                <w:spacing w:val="20"/>
                <w:sz w:val="24"/>
                <w:highlight w:val="none"/>
              </w:rPr>
            </w:pPr>
            <w:r>
              <w:rPr>
                <w:color w:val="auto"/>
                <w:spacing w:val="20"/>
                <w:sz w:val="24"/>
                <w:highlight w:val="none"/>
              </w:rPr>
              <w:t>货物招标</w:t>
            </w:r>
          </w:p>
        </w:tc>
        <w:tc>
          <w:tcPr>
            <w:tcW w:w="1989" w:type="dxa"/>
            <w:tcBorders>
              <w:top w:val="single" w:color="auto" w:sz="4" w:space="0"/>
              <w:bottom w:val="single" w:color="auto" w:sz="4" w:space="0"/>
            </w:tcBorders>
            <w:vAlign w:val="center"/>
          </w:tcPr>
          <w:p w14:paraId="09409ABE">
            <w:pPr>
              <w:tabs>
                <w:tab w:val="left" w:pos="0"/>
              </w:tabs>
              <w:spacing w:line="360" w:lineRule="auto"/>
              <w:jc w:val="center"/>
              <w:rPr>
                <w:caps/>
                <w:color w:val="auto"/>
                <w:spacing w:val="20"/>
                <w:sz w:val="24"/>
                <w:highlight w:val="none"/>
              </w:rPr>
            </w:pPr>
            <w:r>
              <w:rPr>
                <w:color w:val="auto"/>
                <w:spacing w:val="20"/>
                <w:sz w:val="24"/>
                <w:highlight w:val="none"/>
              </w:rPr>
              <w:t>服务招标</w:t>
            </w:r>
          </w:p>
        </w:tc>
        <w:tc>
          <w:tcPr>
            <w:tcW w:w="2155" w:type="dxa"/>
            <w:tcBorders>
              <w:top w:val="single" w:color="auto" w:sz="4" w:space="0"/>
              <w:bottom w:val="single" w:color="auto" w:sz="4" w:space="0"/>
            </w:tcBorders>
            <w:vAlign w:val="center"/>
          </w:tcPr>
          <w:p w14:paraId="5CA9F1A6">
            <w:pPr>
              <w:tabs>
                <w:tab w:val="left" w:pos="0"/>
              </w:tabs>
              <w:spacing w:line="360" w:lineRule="auto"/>
              <w:jc w:val="center"/>
              <w:rPr>
                <w:caps/>
                <w:color w:val="auto"/>
                <w:spacing w:val="20"/>
                <w:sz w:val="24"/>
                <w:highlight w:val="none"/>
              </w:rPr>
            </w:pPr>
            <w:r>
              <w:rPr>
                <w:color w:val="auto"/>
                <w:spacing w:val="20"/>
                <w:sz w:val="24"/>
                <w:highlight w:val="none"/>
              </w:rPr>
              <w:t>工程招标</w:t>
            </w:r>
          </w:p>
        </w:tc>
      </w:tr>
      <w:tr w14:paraId="48EE6C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6" w:hRule="atLeast"/>
          <w:jc w:val="center"/>
        </w:trPr>
        <w:tc>
          <w:tcPr>
            <w:tcW w:w="2420" w:type="dxa"/>
            <w:vMerge w:val="continue"/>
            <w:vAlign w:val="center"/>
          </w:tcPr>
          <w:p w14:paraId="2CE8B7DD">
            <w:pPr>
              <w:tabs>
                <w:tab w:val="left" w:pos="0"/>
              </w:tabs>
              <w:spacing w:line="360" w:lineRule="auto"/>
              <w:jc w:val="center"/>
              <w:rPr>
                <w:color w:val="auto"/>
                <w:spacing w:val="20"/>
                <w:sz w:val="24"/>
                <w:highlight w:val="none"/>
              </w:rPr>
            </w:pPr>
          </w:p>
        </w:tc>
        <w:tc>
          <w:tcPr>
            <w:tcW w:w="6299" w:type="dxa"/>
            <w:gridSpan w:val="3"/>
            <w:tcBorders>
              <w:top w:val="single" w:color="auto" w:sz="4" w:space="0"/>
            </w:tcBorders>
            <w:vAlign w:val="center"/>
          </w:tcPr>
          <w:p w14:paraId="0C5C7F6D">
            <w:pPr>
              <w:tabs>
                <w:tab w:val="left" w:pos="0"/>
              </w:tabs>
              <w:spacing w:line="360" w:lineRule="auto"/>
              <w:jc w:val="center"/>
              <w:rPr>
                <w:color w:val="auto"/>
                <w:spacing w:val="20"/>
                <w:sz w:val="24"/>
                <w:highlight w:val="none"/>
              </w:rPr>
            </w:pPr>
            <w:r>
              <w:rPr>
                <w:color w:val="auto"/>
                <w:spacing w:val="20"/>
                <w:sz w:val="24"/>
                <w:highlight w:val="none"/>
              </w:rPr>
              <w:t>费率</w:t>
            </w:r>
          </w:p>
        </w:tc>
      </w:tr>
      <w:tr w14:paraId="61160C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2A126677">
            <w:pPr>
              <w:tabs>
                <w:tab w:val="left" w:pos="0"/>
              </w:tabs>
              <w:spacing w:line="360" w:lineRule="auto"/>
              <w:jc w:val="center"/>
              <w:rPr>
                <w:color w:val="auto"/>
                <w:spacing w:val="20"/>
                <w:sz w:val="24"/>
                <w:highlight w:val="none"/>
              </w:rPr>
            </w:pPr>
            <w:r>
              <w:rPr>
                <w:color w:val="auto"/>
                <w:spacing w:val="20"/>
                <w:sz w:val="24"/>
                <w:highlight w:val="none"/>
              </w:rPr>
              <w:t>100以下</w:t>
            </w:r>
          </w:p>
        </w:tc>
        <w:tc>
          <w:tcPr>
            <w:tcW w:w="2155" w:type="dxa"/>
            <w:vAlign w:val="center"/>
          </w:tcPr>
          <w:p w14:paraId="23B56091">
            <w:pPr>
              <w:tabs>
                <w:tab w:val="left" w:pos="0"/>
              </w:tabs>
              <w:spacing w:line="360" w:lineRule="auto"/>
              <w:jc w:val="center"/>
              <w:rPr>
                <w:color w:val="auto"/>
                <w:spacing w:val="20"/>
                <w:sz w:val="24"/>
                <w:highlight w:val="none"/>
              </w:rPr>
            </w:pPr>
            <w:r>
              <w:rPr>
                <w:color w:val="auto"/>
                <w:spacing w:val="20"/>
                <w:sz w:val="24"/>
                <w:highlight w:val="none"/>
              </w:rPr>
              <w:t>1.5%</w:t>
            </w:r>
          </w:p>
        </w:tc>
        <w:tc>
          <w:tcPr>
            <w:tcW w:w="1989" w:type="dxa"/>
            <w:vAlign w:val="center"/>
          </w:tcPr>
          <w:p w14:paraId="46ABDA4D">
            <w:pPr>
              <w:tabs>
                <w:tab w:val="left" w:pos="0"/>
              </w:tabs>
              <w:spacing w:line="360" w:lineRule="auto"/>
              <w:jc w:val="center"/>
              <w:rPr>
                <w:color w:val="auto"/>
                <w:spacing w:val="20"/>
                <w:sz w:val="24"/>
                <w:highlight w:val="none"/>
              </w:rPr>
            </w:pPr>
            <w:r>
              <w:rPr>
                <w:color w:val="auto"/>
                <w:spacing w:val="20"/>
                <w:sz w:val="24"/>
                <w:highlight w:val="none"/>
              </w:rPr>
              <w:t>1.5%</w:t>
            </w:r>
          </w:p>
        </w:tc>
        <w:tc>
          <w:tcPr>
            <w:tcW w:w="2155" w:type="dxa"/>
            <w:vAlign w:val="center"/>
          </w:tcPr>
          <w:p w14:paraId="6DC5292C">
            <w:pPr>
              <w:tabs>
                <w:tab w:val="left" w:pos="0"/>
              </w:tabs>
              <w:spacing w:line="360" w:lineRule="auto"/>
              <w:jc w:val="center"/>
              <w:rPr>
                <w:color w:val="auto"/>
                <w:spacing w:val="20"/>
                <w:sz w:val="24"/>
                <w:highlight w:val="none"/>
              </w:rPr>
            </w:pPr>
            <w:r>
              <w:rPr>
                <w:color w:val="auto"/>
                <w:spacing w:val="20"/>
                <w:sz w:val="24"/>
                <w:highlight w:val="none"/>
              </w:rPr>
              <w:t>1.0%</w:t>
            </w:r>
          </w:p>
        </w:tc>
      </w:tr>
      <w:tr w14:paraId="53804E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06F6949B">
            <w:pPr>
              <w:tabs>
                <w:tab w:val="left" w:pos="0"/>
              </w:tabs>
              <w:spacing w:line="360" w:lineRule="auto"/>
              <w:jc w:val="center"/>
              <w:rPr>
                <w:color w:val="auto"/>
                <w:spacing w:val="20"/>
                <w:sz w:val="24"/>
                <w:highlight w:val="none"/>
              </w:rPr>
            </w:pPr>
            <w:r>
              <w:rPr>
                <w:color w:val="auto"/>
                <w:spacing w:val="20"/>
                <w:sz w:val="24"/>
                <w:highlight w:val="none"/>
              </w:rPr>
              <w:t>100-500</w:t>
            </w:r>
          </w:p>
        </w:tc>
        <w:tc>
          <w:tcPr>
            <w:tcW w:w="2155" w:type="dxa"/>
            <w:vAlign w:val="center"/>
          </w:tcPr>
          <w:p w14:paraId="50419F6C">
            <w:pPr>
              <w:tabs>
                <w:tab w:val="left" w:pos="0"/>
              </w:tabs>
              <w:spacing w:line="360" w:lineRule="auto"/>
              <w:jc w:val="center"/>
              <w:rPr>
                <w:color w:val="auto"/>
                <w:spacing w:val="20"/>
                <w:sz w:val="24"/>
                <w:highlight w:val="none"/>
              </w:rPr>
            </w:pPr>
            <w:r>
              <w:rPr>
                <w:color w:val="auto"/>
                <w:spacing w:val="20"/>
                <w:sz w:val="24"/>
                <w:highlight w:val="none"/>
              </w:rPr>
              <w:t>1.1%</w:t>
            </w:r>
          </w:p>
        </w:tc>
        <w:tc>
          <w:tcPr>
            <w:tcW w:w="1989" w:type="dxa"/>
            <w:vAlign w:val="center"/>
          </w:tcPr>
          <w:p w14:paraId="6AC46D08">
            <w:pPr>
              <w:tabs>
                <w:tab w:val="left" w:pos="0"/>
              </w:tabs>
              <w:spacing w:line="360" w:lineRule="auto"/>
              <w:jc w:val="center"/>
              <w:rPr>
                <w:color w:val="auto"/>
                <w:spacing w:val="20"/>
                <w:sz w:val="24"/>
                <w:highlight w:val="none"/>
              </w:rPr>
            </w:pPr>
            <w:r>
              <w:rPr>
                <w:color w:val="auto"/>
                <w:spacing w:val="20"/>
                <w:sz w:val="24"/>
                <w:highlight w:val="none"/>
              </w:rPr>
              <w:t>0.8%</w:t>
            </w:r>
          </w:p>
        </w:tc>
        <w:tc>
          <w:tcPr>
            <w:tcW w:w="2155" w:type="dxa"/>
            <w:vAlign w:val="center"/>
          </w:tcPr>
          <w:p w14:paraId="5617FBE7">
            <w:pPr>
              <w:tabs>
                <w:tab w:val="left" w:pos="0"/>
              </w:tabs>
              <w:spacing w:line="360" w:lineRule="auto"/>
              <w:jc w:val="center"/>
              <w:rPr>
                <w:color w:val="auto"/>
                <w:spacing w:val="20"/>
                <w:sz w:val="24"/>
                <w:highlight w:val="none"/>
              </w:rPr>
            </w:pPr>
            <w:r>
              <w:rPr>
                <w:color w:val="auto"/>
                <w:spacing w:val="20"/>
                <w:sz w:val="24"/>
                <w:highlight w:val="none"/>
              </w:rPr>
              <w:t>0.7%</w:t>
            </w:r>
          </w:p>
        </w:tc>
      </w:tr>
      <w:tr w14:paraId="2FE536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710960EE">
            <w:pPr>
              <w:tabs>
                <w:tab w:val="left" w:pos="0"/>
              </w:tabs>
              <w:spacing w:line="360" w:lineRule="auto"/>
              <w:jc w:val="center"/>
              <w:rPr>
                <w:color w:val="auto"/>
                <w:spacing w:val="20"/>
                <w:sz w:val="24"/>
                <w:highlight w:val="none"/>
              </w:rPr>
            </w:pPr>
            <w:r>
              <w:rPr>
                <w:color w:val="auto"/>
                <w:spacing w:val="20"/>
                <w:sz w:val="24"/>
                <w:highlight w:val="none"/>
              </w:rPr>
              <w:t>500-1000</w:t>
            </w:r>
          </w:p>
        </w:tc>
        <w:tc>
          <w:tcPr>
            <w:tcW w:w="2155" w:type="dxa"/>
            <w:vAlign w:val="center"/>
          </w:tcPr>
          <w:p w14:paraId="150DCF77">
            <w:pPr>
              <w:tabs>
                <w:tab w:val="left" w:pos="0"/>
              </w:tabs>
              <w:spacing w:line="360" w:lineRule="auto"/>
              <w:jc w:val="center"/>
              <w:rPr>
                <w:color w:val="auto"/>
                <w:spacing w:val="20"/>
                <w:sz w:val="24"/>
                <w:highlight w:val="none"/>
              </w:rPr>
            </w:pPr>
            <w:r>
              <w:rPr>
                <w:color w:val="auto"/>
                <w:spacing w:val="20"/>
                <w:sz w:val="24"/>
                <w:highlight w:val="none"/>
              </w:rPr>
              <w:t>0.8%</w:t>
            </w:r>
          </w:p>
        </w:tc>
        <w:tc>
          <w:tcPr>
            <w:tcW w:w="1989" w:type="dxa"/>
            <w:vAlign w:val="center"/>
          </w:tcPr>
          <w:p w14:paraId="26C2F099">
            <w:pPr>
              <w:tabs>
                <w:tab w:val="left" w:pos="0"/>
              </w:tabs>
              <w:spacing w:line="360" w:lineRule="auto"/>
              <w:jc w:val="center"/>
              <w:rPr>
                <w:color w:val="auto"/>
                <w:spacing w:val="20"/>
                <w:sz w:val="24"/>
                <w:highlight w:val="none"/>
              </w:rPr>
            </w:pPr>
            <w:r>
              <w:rPr>
                <w:color w:val="auto"/>
                <w:spacing w:val="20"/>
                <w:sz w:val="24"/>
                <w:highlight w:val="none"/>
              </w:rPr>
              <w:t>0.45%</w:t>
            </w:r>
          </w:p>
        </w:tc>
        <w:tc>
          <w:tcPr>
            <w:tcW w:w="2155" w:type="dxa"/>
            <w:vAlign w:val="center"/>
          </w:tcPr>
          <w:p w14:paraId="6CCB7EFE">
            <w:pPr>
              <w:tabs>
                <w:tab w:val="left" w:pos="0"/>
              </w:tabs>
              <w:spacing w:line="360" w:lineRule="auto"/>
              <w:jc w:val="center"/>
              <w:rPr>
                <w:color w:val="auto"/>
                <w:spacing w:val="20"/>
                <w:sz w:val="24"/>
                <w:highlight w:val="none"/>
              </w:rPr>
            </w:pPr>
            <w:r>
              <w:rPr>
                <w:color w:val="auto"/>
                <w:spacing w:val="20"/>
                <w:sz w:val="24"/>
                <w:highlight w:val="none"/>
              </w:rPr>
              <w:t>0.55%</w:t>
            </w:r>
          </w:p>
        </w:tc>
      </w:tr>
      <w:tr w14:paraId="258598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6A758B26">
            <w:pPr>
              <w:tabs>
                <w:tab w:val="left" w:pos="0"/>
              </w:tabs>
              <w:spacing w:line="360" w:lineRule="auto"/>
              <w:jc w:val="center"/>
              <w:rPr>
                <w:color w:val="auto"/>
                <w:spacing w:val="20"/>
                <w:sz w:val="24"/>
                <w:highlight w:val="none"/>
              </w:rPr>
            </w:pPr>
            <w:r>
              <w:rPr>
                <w:color w:val="auto"/>
                <w:spacing w:val="20"/>
                <w:sz w:val="24"/>
                <w:highlight w:val="none"/>
              </w:rPr>
              <w:t>1000-5000</w:t>
            </w:r>
          </w:p>
        </w:tc>
        <w:tc>
          <w:tcPr>
            <w:tcW w:w="2155" w:type="dxa"/>
            <w:vAlign w:val="center"/>
          </w:tcPr>
          <w:p w14:paraId="0349C26A">
            <w:pPr>
              <w:tabs>
                <w:tab w:val="left" w:pos="0"/>
              </w:tabs>
              <w:spacing w:line="360" w:lineRule="auto"/>
              <w:jc w:val="center"/>
              <w:rPr>
                <w:color w:val="auto"/>
                <w:spacing w:val="20"/>
                <w:sz w:val="24"/>
                <w:highlight w:val="none"/>
              </w:rPr>
            </w:pPr>
            <w:r>
              <w:rPr>
                <w:color w:val="auto"/>
                <w:spacing w:val="20"/>
                <w:sz w:val="24"/>
                <w:highlight w:val="none"/>
              </w:rPr>
              <w:t>0.5%</w:t>
            </w:r>
          </w:p>
        </w:tc>
        <w:tc>
          <w:tcPr>
            <w:tcW w:w="1989" w:type="dxa"/>
            <w:vAlign w:val="center"/>
          </w:tcPr>
          <w:p w14:paraId="54F87481">
            <w:pPr>
              <w:tabs>
                <w:tab w:val="left" w:pos="0"/>
              </w:tabs>
              <w:spacing w:line="360" w:lineRule="auto"/>
              <w:jc w:val="center"/>
              <w:rPr>
                <w:color w:val="auto"/>
                <w:spacing w:val="20"/>
                <w:sz w:val="24"/>
                <w:highlight w:val="none"/>
              </w:rPr>
            </w:pPr>
            <w:r>
              <w:rPr>
                <w:color w:val="auto"/>
                <w:spacing w:val="20"/>
                <w:sz w:val="24"/>
                <w:highlight w:val="none"/>
              </w:rPr>
              <w:t>0.25%</w:t>
            </w:r>
          </w:p>
        </w:tc>
        <w:tc>
          <w:tcPr>
            <w:tcW w:w="2155" w:type="dxa"/>
            <w:vAlign w:val="center"/>
          </w:tcPr>
          <w:p w14:paraId="4146C4CE">
            <w:pPr>
              <w:tabs>
                <w:tab w:val="left" w:pos="0"/>
              </w:tabs>
              <w:spacing w:line="360" w:lineRule="auto"/>
              <w:jc w:val="center"/>
              <w:rPr>
                <w:color w:val="auto"/>
                <w:spacing w:val="20"/>
                <w:sz w:val="24"/>
                <w:highlight w:val="none"/>
              </w:rPr>
            </w:pPr>
            <w:r>
              <w:rPr>
                <w:color w:val="auto"/>
                <w:spacing w:val="20"/>
                <w:sz w:val="24"/>
                <w:highlight w:val="none"/>
              </w:rPr>
              <w:t>0.35%</w:t>
            </w:r>
          </w:p>
        </w:tc>
      </w:tr>
      <w:tr w14:paraId="27B604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1801E098">
            <w:pPr>
              <w:tabs>
                <w:tab w:val="left" w:pos="0"/>
              </w:tabs>
              <w:spacing w:line="360" w:lineRule="auto"/>
              <w:jc w:val="center"/>
              <w:rPr>
                <w:color w:val="auto"/>
                <w:spacing w:val="20"/>
                <w:sz w:val="24"/>
                <w:highlight w:val="none"/>
              </w:rPr>
            </w:pPr>
            <w:r>
              <w:rPr>
                <w:color w:val="auto"/>
                <w:spacing w:val="20"/>
                <w:sz w:val="24"/>
                <w:highlight w:val="none"/>
              </w:rPr>
              <w:t>5000-10000</w:t>
            </w:r>
          </w:p>
        </w:tc>
        <w:tc>
          <w:tcPr>
            <w:tcW w:w="2155" w:type="dxa"/>
            <w:vAlign w:val="center"/>
          </w:tcPr>
          <w:p w14:paraId="69025B05">
            <w:pPr>
              <w:tabs>
                <w:tab w:val="left" w:pos="0"/>
              </w:tabs>
              <w:spacing w:line="360" w:lineRule="auto"/>
              <w:jc w:val="center"/>
              <w:rPr>
                <w:color w:val="auto"/>
                <w:spacing w:val="20"/>
                <w:sz w:val="24"/>
                <w:highlight w:val="none"/>
              </w:rPr>
            </w:pPr>
            <w:r>
              <w:rPr>
                <w:color w:val="auto"/>
                <w:spacing w:val="20"/>
                <w:sz w:val="24"/>
                <w:highlight w:val="none"/>
              </w:rPr>
              <w:t>0.25%</w:t>
            </w:r>
          </w:p>
        </w:tc>
        <w:tc>
          <w:tcPr>
            <w:tcW w:w="1989" w:type="dxa"/>
            <w:vAlign w:val="center"/>
          </w:tcPr>
          <w:p w14:paraId="04237A35">
            <w:pPr>
              <w:tabs>
                <w:tab w:val="left" w:pos="0"/>
              </w:tabs>
              <w:spacing w:line="360" w:lineRule="auto"/>
              <w:jc w:val="center"/>
              <w:rPr>
                <w:color w:val="auto"/>
                <w:spacing w:val="20"/>
                <w:sz w:val="24"/>
                <w:highlight w:val="none"/>
              </w:rPr>
            </w:pPr>
            <w:r>
              <w:rPr>
                <w:color w:val="auto"/>
                <w:spacing w:val="20"/>
                <w:sz w:val="24"/>
                <w:highlight w:val="none"/>
              </w:rPr>
              <w:t>0.1%</w:t>
            </w:r>
          </w:p>
        </w:tc>
        <w:tc>
          <w:tcPr>
            <w:tcW w:w="2155" w:type="dxa"/>
            <w:vAlign w:val="center"/>
          </w:tcPr>
          <w:p w14:paraId="144DF1E8">
            <w:pPr>
              <w:tabs>
                <w:tab w:val="left" w:pos="0"/>
              </w:tabs>
              <w:spacing w:line="360" w:lineRule="auto"/>
              <w:jc w:val="center"/>
              <w:rPr>
                <w:color w:val="auto"/>
                <w:spacing w:val="20"/>
                <w:sz w:val="24"/>
                <w:highlight w:val="none"/>
              </w:rPr>
            </w:pPr>
            <w:r>
              <w:rPr>
                <w:color w:val="auto"/>
                <w:spacing w:val="20"/>
                <w:sz w:val="24"/>
                <w:highlight w:val="none"/>
              </w:rPr>
              <w:t>0.2%</w:t>
            </w:r>
          </w:p>
        </w:tc>
      </w:tr>
      <w:tr w14:paraId="188641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2420" w:type="dxa"/>
            <w:vAlign w:val="center"/>
          </w:tcPr>
          <w:p w14:paraId="11B2EFDE">
            <w:pPr>
              <w:tabs>
                <w:tab w:val="left" w:pos="0"/>
              </w:tabs>
              <w:spacing w:line="360" w:lineRule="auto"/>
              <w:jc w:val="center"/>
              <w:rPr>
                <w:color w:val="auto"/>
                <w:spacing w:val="20"/>
                <w:sz w:val="24"/>
                <w:highlight w:val="none"/>
              </w:rPr>
            </w:pPr>
            <w:r>
              <w:rPr>
                <w:color w:val="auto"/>
                <w:spacing w:val="20"/>
                <w:sz w:val="24"/>
                <w:highlight w:val="none"/>
              </w:rPr>
              <w:t>10000-100000</w:t>
            </w:r>
          </w:p>
        </w:tc>
        <w:tc>
          <w:tcPr>
            <w:tcW w:w="2155" w:type="dxa"/>
            <w:vAlign w:val="center"/>
          </w:tcPr>
          <w:p w14:paraId="5889BA00">
            <w:pPr>
              <w:tabs>
                <w:tab w:val="left" w:pos="0"/>
              </w:tabs>
              <w:spacing w:line="360" w:lineRule="auto"/>
              <w:jc w:val="center"/>
              <w:rPr>
                <w:color w:val="auto"/>
                <w:spacing w:val="20"/>
                <w:sz w:val="24"/>
                <w:highlight w:val="none"/>
              </w:rPr>
            </w:pPr>
            <w:r>
              <w:rPr>
                <w:color w:val="auto"/>
                <w:spacing w:val="20"/>
                <w:sz w:val="24"/>
                <w:highlight w:val="none"/>
              </w:rPr>
              <w:t>0.05%</w:t>
            </w:r>
          </w:p>
        </w:tc>
        <w:tc>
          <w:tcPr>
            <w:tcW w:w="1989" w:type="dxa"/>
            <w:vAlign w:val="center"/>
          </w:tcPr>
          <w:p w14:paraId="726E4128">
            <w:pPr>
              <w:tabs>
                <w:tab w:val="left" w:pos="0"/>
              </w:tabs>
              <w:spacing w:line="360" w:lineRule="auto"/>
              <w:jc w:val="center"/>
              <w:rPr>
                <w:color w:val="auto"/>
                <w:spacing w:val="20"/>
                <w:sz w:val="24"/>
                <w:highlight w:val="none"/>
              </w:rPr>
            </w:pPr>
            <w:r>
              <w:rPr>
                <w:color w:val="auto"/>
                <w:spacing w:val="20"/>
                <w:sz w:val="24"/>
                <w:highlight w:val="none"/>
              </w:rPr>
              <w:t>0.05%</w:t>
            </w:r>
          </w:p>
        </w:tc>
        <w:tc>
          <w:tcPr>
            <w:tcW w:w="2155" w:type="dxa"/>
            <w:vAlign w:val="center"/>
          </w:tcPr>
          <w:p w14:paraId="246A663B">
            <w:pPr>
              <w:tabs>
                <w:tab w:val="left" w:pos="0"/>
              </w:tabs>
              <w:spacing w:line="360" w:lineRule="auto"/>
              <w:jc w:val="center"/>
              <w:rPr>
                <w:color w:val="auto"/>
                <w:spacing w:val="20"/>
                <w:sz w:val="24"/>
                <w:highlight w:val="none"/>
              </w:rPr>
            </w:pPr>
            <w:r>
              <w:rPr>
                <w:color w:val="auto"/>
                <w:spacing w:val="20"/>
                <w:sz w:val="24"/>
                <w:highlight w:val="none"/>
              </w:rPr>
              <w:t>0.05%</w:t>
            </w:r>
          </w:p>
        </w:tc>
      </w:tr>
      <w:tr w14:paraId="4EB323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2420" w:type="dxa"/>
            <w:vAlign w:val="center"/>
          </w:tcPr>
          <w:p w14:paraId="33A0DF1E">
            <w:pPr>
              <w:tabs>
                <w:tab w:val="left" w:pos="0"/>
              </w:tabs>
              <w:spacing w:line="360" w:lineRule="auto"/>
              <w:jc w:val="center"/>
              <w:rPr>
                <w:color w:val="auto"/>
                <w:spacing w:val="20"/>
                <w:sz w:val="24"/>
                <w:highlight w:val="none"/>
              </w:rPr>
            </w:pPr>
            <w:r>
              <w:rPr>
                <w:color w:val="auto"/>
                <w:spacing w:val="20"/>
                <w:sz w:val="24"/>
                <w:highlight w:val="none"/>
              </w:rPr>
              <w:t>1000000以上</w:t>
            </w:r>
          </w:p>
        </w:tc>
        <w:tc>
          <w:tcPr>
            <w:tcW w:w="2155" w:type="dxa"/>
            <w:vAlign w:val="center"/>
          </w:tcPr>
          <w:p w14:paraId="12513A12">
            <w:pPr>
              <w:tabs>
                <w:tab w:val="left" w:pos="0"/>
              </w:tabs>
              <w:spacing w:line="360" w:lineRule="auto"/>
              <w:jc w:val="center"/>
              <w:rPr>
                <w:color w:val="auto"/>
                <w:spacing w:val="20"/>
                <w:sz w:val="24"/>
                <w:highlight w:val="none"/>
              </w:rPr>
            </w:pPr>
            <w:r>
              <w:rPr>
                <w:color w:val="auto"/>
                <w:spacing w:val="20"/>
                <w:sz w:val="24"/>
                <w:highlight w:val="none"/>
              </w:rPr>
              <w:t>0.01%</w:t>
            </w:r>
          </w:p>
        </w:tc>
        <w:tc>
          <w:tcPr>
            <w:tcW w:w="1989" w:type="dxa"/>
            <w:vAlign w:val="center"/>
          </w:tcPr>
          <w:p w14:paraId="0C5A020B">
            <w:pPr>
              <w:tabs>
                <w:tab w:val="left" w:pos="0"/>
              </w:tabs>
              <w:spacing w:line="360" w:lineRule="auto"/>
              <w:jc w:val="center"/>
              <w:rPr>
                <w:color w:val="auto"/>
                <w:spacing w:val="20"/>
                <w:sz w:val="24"/>
                <w:highlight w:val="none"/>
              </w:rPr>
            </w:pPr>
            <w:r>
              <w:rPr>
                <w:color w:val="auto"/>
                <w:spacing w:val="20"/>
                <w:sz w:val="24"/>
                <w:highlight w:val="none"/>
              </w:rPr>
              <w:t>0.01%</w:t>
            </w:r>
          </w:p>
        </w:tc>
        <w:tc>
          <w:tcPr>
            <w:tcW w:w="2155" w:type="dxa"/>
            <w:vAlign w:val="center"/>
          </w:tcPr>
          <w:p w14:paraId="673D5F73">
            <w:pPr>
              <w:tabs>
                <w:tab w:val="left" w:pos="0"/>
              </w:tabs>
              <w:spacing w:line="360" w:lineRule="auto"/>
              <w:jc w:val="center"/>
              <w:rPr>
                <w:color w:val="auto"/>
                <w:spacing w:val="20"/>
                <w:sz w:val="24"/>
                <w:highlight w:val="none"/>
              </w:rPr>
            </w:pPr>
            <w:r>
              <w:rPr>
                <w:color w:val="auto"/>
                <w:spacing w:val="20"/>
                <w:sz w:val="24"/>
                <w:highlight w:val="none"/>
              </w:rPr>
              <w:t>0.01%</w:t>
            </w:r>
          </w:p>
        </w:tc>
      </w:tr>
    </w:tbl>
    <w:p w14:paraId="40F7B957">
      <w:pPr>
        <w:spacing w:line="360" w:lineRule="auto"/>
        <w:rPr>
          <w:rFonts w:hint="default" w:ascii="仿宋" w:hAnsi="仿宋" w:eastAsia="仿宋"/>
          <w:color w:val="auto"/>
          <w:sz w:val="24"/>
          <w:highlight w:val="none"/>
          <w:lang w:val="en-US" w:eastAsia="zh-CN"/>
        </w:rPr>
      </w:pPr>
      <w:r>
        <w:rPr>
          <w:rFonts w:hint="eastAsia" w:ascii="仿宋" w:hAnsi="仿宋" w:eastAsia="仿宋"/>
          <w:b/>
          <w:color w:val="auto"/>
          <w:sz w:val="32"/>
          <w:szCs w:val="32"/>
          <w:highlight w:val="none"/>
          <w:lang w:val="en-US" w:eastAsia="zh-CN"/>
        </w:rPr>
        <w:t xml:space="preserve">  </w:t>
      </w:r>
    </w:p>
    <w:p w14:paraId="4A25B29B">
      <w:pPr>
        <w:pStyle w:val="13"/>
        <w:rPr>
          <w:rFonts w:hint="default"/>
          <w:color w:val="auto"/>
          <w:highlight w:val="none"/>
          <w:lang w:val="en-US" w:eastAsia="zh-CN"/>
        </w:rPr>
      </w:pPr>
    </w:p>
    <w:p w14:paraId="32C07774">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br w:type="page"/>
      </w:r>
    </w:p>
    <w:p w14:paraId="552B5299">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投标文件要求</w:t>
      </w:r>
    </w:p>
    <w:p w14:paraId="7A5CE0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1"/>
          <w:highlight w:val="none"/>
        </w:rPr>
      </w:pPr>
      <w:r>
        <w:rPr>
          <w:rFonts w:hint="eastAsia" w:ascii="仿宋" w:hAnsi="仿宋" w:eastAsia="仿宋"/>
          <w:color w:val="auto"/>
          <w:sz w:val="24"/>
          <w:highlight w:val="none"/>
        </w:rPr>
        <w:t>一、</w:t>
      </w:r>
      <w:r>
        <w:rPr>
          <w:rFonts w:hint="eastAsia" w:ascii="仿宋" w:hAnsi="仿宋" w:eastAsia="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14:paraId="7A2020D8">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1"/>
          <w:highlight w:val="none"/>
        </w:rPr>
      </w:pPr>
      <w:r>
        <w:rPr>
          <w:rFonts w:hint="eastAsia" w:ascii="仿宋" w:hAnsi="仿宋" w:eastAsia="仿宋" w:cs="Times New Roman"/>
          <w:color w:val="auto"/>
          <w:sz w:val="24"/>
          <w:szCs w:val="21"/>
          <w:highlight w:val="none"/>
        </w:rPr>
        <w:t>二、投标文件的组成</w:t>
      </w:r>
    </w:p>
    <w:p w14:paraId="798B796E">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1"/>
          <w:highlight w:val="none"/>
        </w:rPr>
      </w:pPr>
      <w:r>
        <w:rPr>
          <w:rFonts w:hint="eastAsia" w:ascii="仿宋" w:hAnsi="仿宋" w:eastAsia="仿宋" w:cs="Times New Roman"/>
          <w:color w:val="auto"/>
          <w:sz w:val="24"/>
          <w:szCs w:val="21"/>
          <w:highlight w:val="none"/>
        </w:rPr>
        <w:t>投标文件应当包括以下主要内容：技术文件、商务文件，分别装订，分开密封。</w:t>
      </w:r>
    </w:p>
    <w:p w14:paraId="1794D85E">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仿宋" w:hAnsi="仿宋" w:eastAsia="仿宋"/>
          <w:b/>
          <w:color w:val="auto"/>
          <w:sz w:val="24"/>
          <w:szCs w:val="24"/>
          <w:highlight w:val="none"/>
        </w:rPr>
      </w:pPr>
      <w:bookmarkStart w:id="5" w:name="_Hlt68403820"/>
      <w:bookmarkEnd w:id="5"/>
      <w:bookmarkStart w:id="6" w:name="_Hlt68072998"/>
      <w:bookmarkEnd w:id="6"/>
      <w:bookmarkStart w:id="7" w:name="_Hlt68073093"/>
      <w:bookmarkEnd w:id="7"/>
      <w:r>
        <w:rPr>
          <w:rFonts w:hint="eastAsia" w:ascii="仿宋" w:hAnsi="仿宋" w:eastAsia="仿宋" w:cs="Times New Roman"/>
          <w:b/>
          <w:color w:val="auto"/>
          <w:kern w:val="2"/>
          <w:sz w:val="24"/>
          <w:szCs w:val="24"/>
          <w:lang w:val="en-US" w:eastAsia="zh-CN" w:bidi="ar-SA"/>
        </w:rPr>
        <w:t>（一）</w:t>
      </w:r>
      <w:r>
        <w:rPr>
          <w:rFonts w:hint="eastAsia" w:ascii="仿宋" w:hAnsi="仿宋" w:eastAsia="仿宋"/>
          <w:b/>
          <w:color w:val="auto"/>
          <w:sz w:val="24"/>
          <w:szCs w:val="24"/>
          <w:highlight w:val="none"/>
        </w:rPr>
        <w:t>技术文件的组成（</w:t>
      </w:r>
      <w:r>
        <w:rPr>
          <w:rFonts w:hint="eastAsia" w:ascii="仿宋" w:hAnsi="仿宋" w:eastAsia="仿宋"/>
          <w:b/>
          <w:bCs/>
          <w:color w:val="auto"/>
          <w:sz w:val="24"/>
          <w:szCs w:val="24"/>
          <w:highlight w:val="none"/>
        </w:rPr>
        <w:t>逐页加盖公章）</w:t>
      </w:r>
    </w:p>
    <w:p w14:paraId="35BE2D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1）投标单位情况介绍</w:t>
      </w:r>
    </w:p>
    <w:p w14:paraId="69F636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lang w:val="zh-CN"/>
        </w:rPr>
        <w:t>）有效的投标方营业执照复印件；</w:t>
      </w:r>
    </w:p>
    <w:p w14:paraId="68D5E4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eastAsia="zh-CN"/>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lang w:val="zh-CN"/>
        </w:rPr>
        <w:t>）法定代表人资格申明书、法定代表人身份证复印件；（适用于法定代表人出席投标会）</w:t>
      </w:r>
      <w:r>
        <w:rPr>
          <w:rFonts w:hint="eastAsia" w:ascii="仿宋" w:hAnsi="仿宋" w:eastAsia="仿宋"/>
          <w:color w:val="auto"/>
          <w:sz w:val="24"/>
          <w:highlight w:val="none"/>
          <w:lang w:val="zh-CN" w:eastAsia="zh-CN"/>
        </w:rPr>
        <w:t>；</w:t>
      </w:r>
    </w:p>
    <w:p w14:paraId="7FD96D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lang w:val="zh-CN"/>
        </w:rPr>
        <w:t>）授权委托书、授权代表身份证复印件；（适用于授权代表出席投标会）；</w:t>
      </w:r>
    </w:p>
    <w:p w14:paraId="4FB5A3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val="zh-CN"/>
        </w:rPr>
        <w:t>） 投标单位工作内容描述</w:t>
      </w:r>
    </w:p>
    <w:p w14:paraId="0F8918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①概述：简述本项目适用的有关政策、法规以及工作流程等资料；</w:t>
      </w:r>
    </w:p>
    <w:p w14:paraId="09286C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②目标：说明本项目计划达到的目标；</w:t>
      </w:r>
    </w:p>
    <w:p w14:paraId="32AD2D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③工作范围：详细说明投标单位应当完成的代理任务和具体要求；</w:t>
      </w:r>
    </w:p>
    <w:p w14:paraId="6199D6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④培训要求：如果需要人员培训（对新的政策、法律法规、招标程序以及委托人的要求），说明投标单位在人员培训方面应做的工作；</w:t>
      </w:r>
    </w:p>
    <w:p w14:paraId="6C54B5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zh-CN"/>
        </w:rPr>
        <w:t>⑤进度与报告：关于工作的招标时间工作安排和工作进展情况报告的要求；</w:t>
      </w:r>
      <w:r>
        <w:rPr>
          <w:rFonts w:hint="eastAsia" w:ascii="仿宋" w:hAnsi="仿宋" w:eastAsia="仿宋"/>
          <w:color w:val="auto"/>
          <w:sz w:val="24"/>
          <w:highlight w:val="none"/>
          <w:lang w:val="en-US" w:eastAsia="zh-CN"/>
        </w:rPr>
        <w:t xml:space="preserve"> </w:t>
      </w:r>
    </w:p>
    <w:p w14:paraId="632B51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⑥ 招标代理过程与各方沟通的保证措施；</w:t>
      </w:r>
    </w:p>
    <w:p w14:paraId="395928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⑦ 投诉处理方案、招标代理资料的合法性、完整性与及时性保证措施；</w:t>
      </w:r>
    </w:p>
    <w:p w14:paraId="631A34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⑧对代理服务的其他建议、要求；</w:t>
      </w:r>
    </w:p>
    <w:p w14:paraId="761ECC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val="zh-CN"/>
        </w:rPr>
        <w:t>）投标单位人员分工与职责</w:t>
      </w:r>
    </w:p>
    <w:p w14:paraId="71051C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①投标单位服务人员工作守则；</w:t>
      </w:r>
    </w:p>
    <w:p w14:paraId="518D28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②投标单位服务人员分工与职责；</w:t>
      </w:r>
    </w:p>
    <w:p w14:paraId="7CBCC7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lang w:val="zh-CN"/>
        </w:rPr>
        <w:t>）投标服务人员资历、业绩情况</w:t>
      </w:r>
    </w:p>
    <w:p w14:paraId="3665C9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①投标服务人员汇总表；</w:t>
      </w:r>
    </w:p>
    <w:p w14:paraId="292D7D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②项目负责人情况；</w:t>
      </w:r>
    </w:p>
    <w:p w14:paraId="5EDD98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zh-CN"/>
        </w:rPr>
        <w:t>③相关证明材料文件（人员资质证书、学历等）；</w:t>
      </w:r>
    </w:p>
    <w:p w14:paraId="4A32682C">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lang w:val="zh-CN"/>
        </w:rPr>
        <w:t>）近三年来医院或卫生服务中心已完成的一般货物、服务类项目招标代理服务的业绩表 ；</w:t>
      </w:r>
    </w:p>
    <w:p w14:paraId="022F93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lang w:val="zh-CN"/>
        </w:rPr>
        <w:t>投标人自20</w:t>
      </w:r>
      <w:r>
        <w:rPr>
          <w:rFonts w:hint="eastAsia" w:ascii="仿宋" w:hAnsi="仿宋" w:eastAsia="仿宋"/>
          <w:color w:val="auto"/>
          <w:sz w:val="24"/>
          <w:highlight w:val="none"/>
          <w:lang w:val="en-US" w:eastAsia="zh-CN"/>
        </w:rPr>
        <w:t>23</w:t>
      </w:r>
      <w:r>
        <w:rPr>
          <w:rFonts w:hint="eastAsia" w:ascii="仿宋" w:hAnsi="仿宋" w:eastAsia="仿宋"/>
          <w:color w:val="auto"/>
          <w:sz w:val="24"/>
          <w:highlight w:val="none"/>
          <w:lang w:val="zh-CN"/>
        </w:rPr>
        <w:t>年1月1日起到中标公告期结束前无行贿犯罪记录（通过中国裁判文书网（http://wenshu.court.gov.cn/）查询，查询结果以网站页面显示内容为准）</w:t>
      </w:r>
    </w:p>
    <w:p w14:paraId="5BEA40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lang w:val="zh-CN"/>
        </w:rPr>
        <w:t>招标人要求提交的其他资料或投标人认为可以提供的其他资料。</w:t>
      </w:r>
    </w:p>
    <w:p w14:paraId="794351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lang w:val="zh-CN"/>
        </w:rPr>
      </w:pPr>
      <w:r>
        <w:rPr>
          <w:rFonts w:hint="eastAsia" w:ascii="仿宋" w:hAnsi="仿宋" w:eastAsia="仿宋"/>
          <w:color w:val="auto"/>
          <w:sz w:val="24"/>
          <w:highlight w:val="none"/>
          <w:lang w:val="en-US" w:eastAsia="zh-CN"/>
        </w:rPr>
        <w:t>11）</w:t>
      </w:r>
      <w:r>
        <w:rPr>
          <w:rFonts w:hint="eastAsia" w:ascii="仿宋" w:hAnsi="仿宋" w:eastAsia="仿宋"/>
          <w:color w:val="auto"/>
          <w:sz w:val="24"/>
          <w:highlight w:val="none"/>
          <w:lang w:val="zh-CN" w:eastAsia="zh-CN"/>
        </w:rPr>
        <w:t>提供工商登记股东清单加盖单位公章</w:t>
      </w:r>
    </w:p>
    <w:p w14:paraId="0F59BD23">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（二）商务文件的组成（</w:t>
      </w:r>
      <w:r>
        <w:rPr>
          <w:rFonts w:hint="eastAsia" w:ascii="仿宋" w:hAnsi="仿宋" w:eastAsia="仿宋"/>
          <w:b/>
          <w:bCs/>
          <w:color w:val="auto"/>
          <w:sz w:val="24"/>
          <w:szCs w:val="24"/>
          <w:highlight w:val="none"/>
        </w:rPr>
        <w:t>逐页加盖公章）</w:t>
      </w:r>
    </w:p>
    <w:p w14:paraId="132021A9">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1）投标函；</w:t>
      </w:r>
    </w:p>
    <w:p w14:paraId="6FF11C18">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2）报价一览表；</w:t>
      </w:r>
    </w:p>
    <w:p w14:paraId="3853AE6C">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color w:val="auto"/>
          <w:sz w:val="24"/>
          <w:szCs w:val="20"/>
          <w:highlight w:val="none"/>
          <w:lang w:val="zh-CN"/>
        </w:rPr>
      </w:pPr>
      <w:r>
        <w:rPr>
          <w:rFonts w:ascii="仿宋" w:hAnsi="仿宋" w:eastAsia="仿宋" w:cs="Times New Roman"/>
          <w:color w:val="auto"/>
          <w:sz w:val="24"/>
          <w:szCs w:val="20"/>
          <w:highlight w:val="none"/>
          <w:lang w:val="zh-CN"/>
        </w:rPr>
        <w:t>3）其他投标人认为</w:t>
      </w:r>
      <w:r>
        <w:rPr>
          <w:rFonts w:hint="eastAsia" w:ascii="仿宋" w:hAnsi="仿宋" w:eastAsia="仿宋" w:cs="Times New Roman"/>
          <w:color w:val="auto"/>
          <w:sz w:val="24"/>
          <w:szCs w:val="20"/>
          <w:highlight w:val="none"/>
          <w:lang w:val="zh-CN"/>
        </w:rPr>
        <w:t>需</w:t>
      </w:r>
      <w:r>
        <w:rPr>
          <w:rFonts w:ascii="仿宋" w:hAnsi="仿宋" w:eastAsia="仿宋" w:cs="Times New Roman"/>
          <w:color w:val="auto"/>
          <w:sz w:val="24"/>
          <w:szCs w:val="20"/>
          <w:highlight w:val="none"/>
          <w:lang w:val="zh-CN"/>
        </w:rPr>
        <w:t>提供的资料。</w:t>
      </w:r>
    </w:p>
    <w:p w14:paraId="21C176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三、投标文件制作要求</w:t>
      </w:r>
    </w:p>
    <w:p w14:paraId="034567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投标文件正本必须用不</w:t>
      </w:r>
      <w:r>
        <w:rPr>
          <w:rFonts w:hint="eastAsia" w:ascii="仿宋" w:hAnsi="仿宋" w:eastAsia="仿宋" w:cs="宋体"/>
          <w:color w:val="auto"/>
          <w:kern w:val="0"/>
          <w:sz w:val="24"/>
          <w:szCs w:val="24"/>
          <w:highlight w:val="none"/>
          <w:lang w:eastAsia="zh-CN"/>
        </w:rPr>
        <w:t>褪色</w:t>
      </w:r>
      <w:r>
        <w:rPr>
          <w:rFonts w:hint="eastAsia" w:ascii="仿宋" w:hAnsi="仿宋" w:eastAsia="仿宋" w:cs="宋体"/>
          <w:color w:val="auto"/>
          <w:kern w:val="0"/>
          <w:sz w:val="24"/>
          <w:szCs w:val="24"/>
          <w:highlight w:val="none"/>
        </w:rPr>
        <w:t>的墨水填写或打印，幅面规格A4并装订成册，副本可用复印件。投标文件须一式</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份（</w:t>
      </w:r>
      <w:r>
        <w:rPr>
          <w:rFonts w:hint="eastAsia" w:ascii="仿宋" w:hAnsi="仿宋" w:eastAsia="仿宋" w:cs="宋体"/>
          <w:color w:val="auto"/>
          <w:kern w:val="0"/>
          <w:sz w:val="24"/>
          <w:szCs w:val="24"/>
          <w:lang w:val="en-US" w:eastAsia="zh-CN" w:bidi="ar-SA"/>
        </w:rPr>
        <w:t>技术文件正本一份，副本二份；商务文件正本一份，副本二份</w:t>
      </w:r>
      <w:r>
        <w:rPr>
          <w:rFonts w:hint="eastAsia" w:ascii="仿宋" w:hAnsi="仿宋" w:eastAsia="仿宋" w:cs="宋体"/>
          <w:color w:val="auto"/>
          <w:kern w:val="0"/>
          <w:sz w:val="24"/>
          <w:szCs w:val="24"/>
          <w:highlight w:val="none"/>
        </w:rPr>
        <w:t>），分别标明“正本”“副本”。正本与副本如有差别，以正本为准，责任由投标人自负。</w:t>
      </w:r>
    </w:p>
    <w:p w14:paraId="1D9A60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投标文件中不许有加行、涂抹或改写。若修改错漏处，须由法定代表人或其授权代表签字并加盖单位公章方可生效。</w:t>
      </w:r>
    </w:p>
    <w:p w14:paraId="157ECA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3.</w:t>
      </w:r>
      <w:r>
        <w:rPr>
          <w:rFonts w:hint="eastAsia" w:ascii="仿宋" w:hAnsi="仿宋" w:eastAsia="仿宋" w:cs="宋体"/>
          <w:color w:val="auto"/>
          <w:kern w:val="0"/>
          <w:sz w:val="24"/>
          <w:szCs w:val="24"/>
          <w:highlight w:val="none"/>
        </w:rPr>
        <w:t>投标文件封面应标明</w:t>
      </w:r>
      <w:r>
        <w:rPr>
          <w:rFonts w:hint="eastAsia" w:ascii="仿宋" w:hAnsi="仿宋" w:eastAsia="仿宋" w:cs="宋体"/>
          <w:color w:val="auto"/>
          <w:kern w:val="0"/>
          <w:sz w:val="24"/>
          <w:szCs w:val="24"/>
          <w:lang w:val="en-US" w:eastAsia="zh-CN" w:bidi="ar-SA"/>
        </w:rPr>
        <w:t>“项目名称、项目编号、技术（商务）文件、正（副）本、投标单位名称”</w:t>
      </w:r>
      <w:r>
        <w:rPr>
          <w:rFonts w:hint="eastAsia" w:ascii="仿宋" w:hAnsi="仿宋" w:eastAsia="仿宋" w:cs="宋体"/>
          <w:color w:val="auto"/>
          <w:kern w:val="0"/>
          <w:sz w:val="24"/>
          <w:szCs w:val="24"/>
          <w:highlight w:val="none"/>
        </w:rPr>
        <w:t>。</w:t>
      </w:r>
    </w:p>
    <w:p w14:paraId="15B306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b w:val="0"/>
          <w:bCs w:val="0"/>
          <w:color w:val="auto"/>
          <w:kern w:val="0"/>
          <w:sz w:val="24"/>
          <w:szCs w:val="24"/>
          <w:highlight w:val="none"/>
          <w:lang w:eastAsia="zh-CN"/>
        </w:rPr>
        <w:t>4.</w:t>
      </w:r>
      <w:r>
        <w:rPr>
          <w:rFonts w:hint="eastAsia" w:ascii="仿宋" w:hAnsi="仿宋" w:eastAsia="仿宋" w:cs="宋体"/>
          <w:b w:val="0"/>
          <w:bCs w:val="0"/>
          <w:color w:val="auto"/>
          <w:kern w:val="0"/>
          <w:sz w:val="24"/>
          <w:szCs w:val="24"/>
          <w:lang w:val="en-US" w:eastAsia="zh-CN" w:bidi="ar-SA"/>
        </w:rPr>
        <w:t>技术文件（一正二副）、商务文件（一正二副）</w:t>
      </w:r>
      <w:r>
        <w:rPr>
          <w:rFonts w:hint="eastAsia" w:ascii="仿宋" w:hAnsi="仿宋" w:eastAsia="仿宋" w:cs="宋体"/>
          <w:b w:val="0"/>
          <w:bCs w:val="0"/>
          <w:color w:val="auto"/>
          <w:kern w:val="0"/>
          <w:sz w:val="24"/>
          <w:szCs w:val="24"/>
          <w:highlight w:val="none"/>
        </w:rPr>
        <w:t>应</w:t>
      </w:r>
      <w:r>
        <w:rPr>
          <w:rFonts w:hint="eastAsia" w:ascii="仿宋" w:hAnsi="仿宋" w:eastAsia="仿宋" w:cs="宋体"/>
          <w:b w:val="0"/>
          <w:bCs w:val="0"/>
          <w:color w:val="auto"/>
          <w:kern w:val="0"/>
          <w:sz w:val="24"/>
          <w:szCs w:val="24"/>
          <w:highlight w:val="none"/>
          <w:lang w:val="en-US" w:eastAsia="zh-CN"/>
        </w:rPr>
        <w:t>分别</w:t>
      </w:r>
      <w:r>
        <w:rPr>
          <w:rFonts w:hint="eastAsia" w:ascii="仿宋" w:hAnsi="仿宋" w:eastAsia="仿宋" w:cs="宋体"/>
          <w:b w:val="0"/>
          <w:bCs w:val="0"/>
          <w:color w:val="auto"/>
          <w:kern w:val="0"/>
          <w:sz w:val="24"/>
          <w:szCs w:val="24"/>
          <w:highlight w:val="none"/>
        </w:rPr>
        <w:t>装入密封袋内，密封包装</w:t>
      </w:r>
      <w:r>
        <w:rPr>
          <w:rFonts w:hint="eastAsia" w:ascii="仿宋" w:hAnsi="仿宋" w:eastAsia="仿宋" w:cs="宋体"/>
          <w:b w:val="0"/>
          <w:bCs w:val="0"/>
          <w:color w:val="auto"/>
          <w:kern w:val="0"/>
          <w:sz w:val="24"/>
          <w:szCs w:val="24"/>
          <w:highlight w:val="none"/>
          <w:lang w:eastAsia="zh-CN"/>
        </w:rPr>
        <w:t>，</w:t>
      </w:r>
      <w:r>
        <w:rPr>
          <w:rFonts w:hint="eastAsia" w:ascii="仿宋" w:hAnsi="仿宋" w:eastAsia="仿宋" w:cs="宋体"/>
          <w:b w:val="0"/>
          <w:bCs w:val="0"/>
          <w:color w:val="auto"/>
          <w:kern w:val="0"/>
          <w:sz w:val="24"/>
          <w:szCs w:val="24"/>
          <w:lang w:val="en-US" w:eastAsia="zh-CN" w:bidi="ar-SA"/>
        </w:rPr>
        <w:t>技术文件中不得包含商务报价，否则按废标处理。</w:t>
      </w:r>
    </w:p>
    <w:p w14:paraId="5A0427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四 、投标文件的送达时间 </w:t>
      </w:r>
    </w:p>
    <w:p w14:paraId="5F97F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开标地点即为投标文件的递交地点，招标人在投标截止时间前一小时内接收投标文件。</w:t>
      </w:r>
    </w:p>
    <w:p w14:paraId="6E65E2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招标方将拒绝在投标截止时间后收到的投标文件。</w:t>
      </w:r>
    </w:p>
    <w:p w14:paraId="6E9488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五、投标单位有下列情况之一的，</w:t>
      </w:r>
      <w:r>
        <w:rPr>
          <w:rFonts w:hint="eastAsia" w:ascii="仿宋" w:hAnsi="仿宋" w:eastAsia="仿宋" w:cs="宋体"/>
          <w:color w:val="auto"/>
          <w:kern w:val="0"/>
          <w:sz w:val="24"/>
          <w:szCs w:val="24"/>
          <w:highlight w:val="none"/>
          <w:lang w:val="en-GB"/>
        </w:rPr>
        <w:t>其投标将可能被拒绝或作无效投标处理：</w:t>
      </w:r>
    </w:p>
    <w:p w14:paraId="066463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1.</w:t>
      </w:r>
      <w:r>
        <w:rPr>
          <w:rFonts w:hint="eastAsia" w:ascii="仿宋" w:hAnsi="仿宋" w:eastAsia="仿宋" w:cs="宋体"/>
          <w:color w:val="auto"/>
          <w:kern w:val="0"/>
          <w:sz w:val="24"/>
          <w:szCs w:val="24"/>
          <w:highlight w:val="none"/>
        </w:rPr>
        <w:t>未在规定时间内将投标书送达规定地点的。</w:t>
      </w:r>
    </w:p>
    <w:p w14:paraId="72BAE6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2.</w:t>
      </w:r>
      <w:r>
        <w:rPr>
          <w:rFonts w:hint="eastAsia" w:ascii="仿宋" w:hAnsi="仿宋" w:eastAsia="仿宋" w:cs="宋体"/>
          <w:color w:val="auto"/>
          <w:kern w:val="0"/>
          <w:sz w:val="24"/>
          <w:szCs w:val="24"/>
          <w:highlight w:val="none"/>
        </w:rPr>
        <w:t>投标书未按规定密封或未按要求加盖公章或投标文件签署不符合要求的。</w:t>
      </w:r>
    </w:p>
    <w:p w14:paraId="5EA32C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3.</w:t>
      </w:r>
      <w:r>
        <w:rPr>
          <w:rFonts w:hint="eastAsia" w:ascii="仿宋" w:hAnsi="仿宋" w:eastAsia="仿宋" w:cs="宋体"/>
          <w:color w:val="auto"/>
          <w:kern w:val="0"/>
          <w:sz w:val="24"/>
          <w:szCs w:val="24"/>
          <w:highlight w:val="none"/>
        </w:rPr>
        <w:t>投标文件无法人代表签字或签字无法人代表有效委托的。</w:t>
      </w:r>
    </w:p>
    <w:p w14:paraId="6FE36D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4.</w:t>
      </w:r>
      <w:r>
        <w:rPr>
          <w:rFonts w:hint="eastAsia" w:ascii="仿宋" w:hAnsi="仿宋" w:eastAsia="仿宋" w:cs="宋体"/>
          <w:color w:val="auto"/>
          <w:kern w:val="0"/>
          <w:sz w:val="24"/>
          <w:szCs w:val="24"/>
          <w:highlight w:val="none"/>
        </w:rPr>
        <w:t>投标单位不符合投标单位资格要求的。</w:t>
      </w:r>
    </w:p>
    <w:p w14:paraId="477A13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5.</w:t>
      </w:r>
      <w:r>
        <w:rPr>
          <w:rFonts w:hint="eastAsia" w:ascii="仿宋" w:hAnsi="仿宋" w:eastAsia="仿宋" w:cs="宋体"/>
          <w:color w:val="auto"/>
          <w:kern w:val="0"/>
          <w:sz w:val="24"/>
          <w:szCs w:val="24"/>
          <w:highlight w:val="none"/>
        </w:rPr>
        <w:t>投标单位不符合产品报价要求的。</w:t>
      </w:r>
    </w:p>
    <w:p w14:paraId="5A9861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eastAsia="zh-CN"/>
        </w:rPr>
        <w:t>6.</w:t>
      </w:r>
      <w:r>
        <w:rPr>
          <w:rFonts w:hint="eastAsia" w:ascii="仿宋" w:hAnsi="仿宋" w:eastAsia="仿宋" w:cs="宋体"/>
          <w:color w:val="auto"/>
          <w:kern w:val="0"/>
          <w:sz w:val="24"/>
          <w:szCs w:val="24"/>
          <w:highlight w:val="none"/>
        </w:rPr>
        <w:t>投标文件中提供伪造、虚假材料的。</w:t>
      </w:r>
    </w:p>
    <w:p w14:paraId="666A0E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rPr>
      </w:pPr>
      <w:r>
        <w:rPr>
          <w:rFonts w:hint="eastAsia" w:ascii="仿宋" w:hAnsi="仿宋" w:eastAsia="仿宋" w:cs="宋体"/>
          <w:color w:val="auto"/>
          <w:kern w:val="0"/>
          <w:sz w:val="24"/>
          <w:szCs w:val="24"/>
          <w:highlight w:val="none"/>
          <w:lang w:eastAsia="zh-CN"/>
        </w:rPr>
        <w:t>7.</w:t>
      </w:r>
      <w:r>
        <w:rPr>
          <w:rFonts w:hint="eastAsia" w:ascii="仿宋" w:hAnsi="仿宋" w:eastAsia="仿宋" w:cs="宋体"/>
          <w:color w:val="auto"/>
          <w:kern w:val="0"/>
          <w:sz w:val="24"/>
          <w:szCs w:val="24"/>
          <w:highlight w:val="none"/>
        </w:rPr>
        <w:t>投标报价经评标小组认定明显不合理的。</w:t>
      </w:r>
    </w:p>
    <w:p w14:paraId="66EDC24D">
      <w:pPr>
        <w:snapToGrid w:val="0"/>
        <w:spacing w:line="360" w:lineRule="auto"/>
        <w:rPr>
          <w:rFonts w:ascii="仿宋" w:hAnsi="仿宋" w:eastAsia="仿宋"/>
          <w:color w:val="auto"/>
          <w:sz w:val="24"/>
          <w:highlight w:val="none"/>
        </w:rPr>
      </w:pPr>
    </w:p>
    <w:p w14:paraId="5D5EE849">
      <w:pPr>
        <w:pStyle w:val="13"/>
        <w:rPr>
          <w:color w:val="auto"/>
          <w:highlight w:val="none"/>
        </w:rPr>
      </w:pPr>
    </w:p>
    <w:p w14:paraId="143463E8">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br w:type="page"/>
      </w:r>
    </w:p>
    <w:p w14:paraId="0952E344">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评分办法</w:t>
      </w:r>
    </w:p>
    <w:p w14:paraId="0E1157C8">
      <w:pPr>
        <w:widowControl/>
        <w:spacing w:line="420" w:lineRule="atLeast"/>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本项目总分为100分。其中技术分</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0分、商务报价</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0分。合格投标人的综合得分为各部分项目汇总得分，中标候选资格按综合得分由高到低顺序排列，得分相同的，按投标</w:t>
      </w:r>
      <w:r>
        <w:rPr>
          <w:rFonts w:hint="eastAsia" w:ascii="仿宋" w:hAnsi="仿宋" w:eastAsia="仿宋" w:cs="宋体"/>
          <w:color w:val="auto"/>
          <w:sz w:val="24"/>
          <w:szCs w:val="24"/>
          <w:highlight w:val="none"/>
          <w:lang w:eastAsia="zh-CN"/>
        </w:rPr>
        <w:t>结算率</w:t>
      </w:r>
      <w:r>
        <w:rPr>
          <w:rFonts w:hint="eastAsia" w:ascii="仿宋" w:hAnsi="仿宋" w:eastAsia="仿宋" w:cs="宋体"/>
          <w:color w:val="auto"/>
          <w:sz w:val="24"/>
          <w:szCs w:val="24"/>
          <w:highlight w:val="none"/>
        </w:rPr>
        <w:t>由</w:t>
      </w:r>
      <w:r>
        <w:rPr>
          <w:rFonts w:hint="eastAsia" w:ascii="仿宋" w:hAnsi="仿宋" w:eastAsia="仿宋" w:cs="宋体"/>
          <w:color w:val="auto"/>
          <w:sz w:val="24"/>
          <w:szCs w:val="24"/>
          <w:highlight w:val="none"/>
          <w:lang w:eastAsia="zh-CN"/>
        </w:rPr>
        <w:t>低</w:t>
      </w:r>
      <w:r>
        <w:rPr>
          <w:rFonts w:hint="eastAsia" w:ascii="仿宋" w:hAnsi="仿宋" w:eastAsia="仿宋" w:cs="宋体"/>
          <w:color w:val="auto"/>
          <w:sz w:val="24"/>
          <w:szCs w:val="24"/>
          <w:highlight w:val="none"/>
        </w:rPr>
        <w:t>到</w:t>
      </w:r>
      <w:r>
        <w:rPr>
          <w:rFonts w:hint="eastAsia" w:ascii="仿宋" w:hAnsi="仿宋" w:eastAsia="仿宋" w:cs="宋体"/>
          <w:color w:val="auto"/>
          <w:sz w:val="24"/>
          <w:szCs w:val="24"/>
          <w:highlight w:val="none"/>
          <w:lang w:eastAsia="zh-CN"/>
        </w:rPr>
        <w:t>高</w:t>
      </w:r>
      <w:r>
        <w:rPr>
          <w:rFonts w:hint="eastAsia" w:ascii="仿宋" w:hAnsi="仿宋" w:eastAsia="仿宋" w:cs="宋体"/>
          <w:color w:val="auto"/>
          <w:sz w:val="24"/>
          <w:szCs w:val="24"/>
          <w:highlight w:val="none"/>
        </w:rPr>
        <w:t>顺序排列；综合得分且投标</w:t>
      </w:r>
      <w:r>
        <w:rPr>
          <w:rFonts w:hint="eastAsia" w:ascii="仿宋" w:hAnsi="仿宋" w:eastAsia="仿宋" w:cs="宋体"/>
          <w:color w:val="auto"/>
          <w:sz w:val="24"/>
          <w:szCs w:val="24"/>
          <w:highlight w:val="none"/>
          <w:lang w:eastAsia="zh-CN"/>
        </w:rPr>
        <w:t>结算率</w:t>
      </w:r>
      <w:r>
        <w:rPr>
          <w:rFonts w:hint="eastAsia" w:ascii="仿宋" w:hAnsi="仿宋" w:eastAsia="仿宋" w:cs="宋体"/>
          <w:color w:val="auto"/>
          <w:sz w:val="24"/>
          <w:szCs w:val="24"/>
          <w:highlight w:val="none"/>
        </w:rPr>
        <w:t>相同的，按技术分的优劣顺序排列。排名第一的投标人为中标候选人，排名第二的投标人为候补中标候选人，其他投标人中标候选资格依次类推。</w:t>
      </w:r>
    </w:p>
    <w:p w14:paraId="02682A84">
      <w:pPr>
        <w:numPr>
          <w:ilvl w:val="0"/>
          <w:numId w:val="0"/>
        </w:numPr>
        <w:tabs>
          <w:tab w:val="left" w:pos="540"/>
          <w:tab w:val="left" w:pos="884"/>
        </w:tabs>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一、</w:t>
      </w:r>
      <w:r>
        <w:rPr>
          <w:rFonts w:hint="eastAsia" w:ascii="仿宋" w:hAnsi="仿宋" w:eastAsia="仿宋" w:cs="宋体"/>
          <w:color w:val="auto"/>
          <w:sz w:val="24"/>
          <w:szCs w:val="24"/>
          <w:highlight w:val="none"/>
        </w:rPr>
        <w:t>技</w:t>
      </w:r>
      <w:r>
        <w:rPr>
          <w:rFonts w:ascii="仿宋" w:hAnsi="仿宋" w:eastAsia="仿宋" w:cs="宋体"/>
          <w:color w:val="auto"/>
          <w:sz w:val="24"/>
          <w:szCs w:val="24"/>
          <w:highlight w:val="none"/>
        </w:rPr>
        <w:t>术分满分为</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0</w:t>
      </w:r>
      <w:r>
        <w:rPr>
          <w:rFonts w:ascii="仿宋" w:hAnsi="仿宋" w:eastAsia="仿宋" w:cs="宋体"/>
          <w:color w:val="auto"/>
          <w:sz w:val="24"/>
          <w:szCs w:val="24"/>
          <w:highlight w:val="none"/>
        </w:rPr>
        <w:t>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p w14:paraId="11D3F0F9">
      <w:pPr>
        <w:pStyle w:val="13"/>
        <w:numPr>
          <w:ilvl w:val="0"/>
          <w:numId w:val="0"/>
        </w:num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货物</w:t>
      </w:r>
      <w:r>
        <w:rPr>
          <w:rFonts w:hint="eastAsia" w:ascii="仿宋" w:hAnsi="仿宋" w:eastAsia="仿宋" w:cs="仿宋"/>
          <w:b/>
          <w:bCs/>
          <w:color w:val="auto"/>
          <w:sz w:val="28"/>
          <w:szCs w:val="28"/>
          <w:highlight w:val="none"/>
          <w:lang w:val="en-US" w:eastAsia="zh-CN"/>
        </w:rPr>
        <w:t>类</w:t>
      </w:r>
      <w:r>
        <w:rPr>
          <w:rFonts w:hint="eastAsia" w:ascii="仿宋" w:hAnsi="仿宋" w:eastAsia="仿宋" w:cs="仿宋"/>
          <w:b/>
          <w:bCs/>
          <w:color w:val="auto"/>
          <w:sz w:val="28"/>
          <w:szCs w:val="28"/>
          <w:highlight w:val="none"/>
          <w:lang w:eastAsia="zh-CN"/>
        </w:rPr>
        <w:t>、服务类</w:t>
      </w:r>
      <w:r>
        <w:rPr>
          <w:rFonts w:hint="eastAsia" w:ascii="仿宋" w:hAnsi="仿宋" w:eastAsia="仿宋" w:cs="仿宋"/>
          <w:b/>
          <w:bCs/>
          <w:color w:val="auto"/>
          <w:sz w:val="28"/>
          <w:szCs w:val="28"/>
          <w:highlight w:val="none"/>
          <w:lang w:val="en-US" w:eastAsia="zh-CN"/>
        </w:rPr>
        <w:t>评分细则</w:t>
      </w:r>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464"/>
        <w:gridCol w:w="2232"/>
        <w:gridCol w:w="4737"/>
        <w:gridCol w:w="1081"/>
      </w:tblGrid>
      <w:tr w14:paraId="72D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64" w:type="dxa"/>
            <w:vMerge w:val="restart"/>
            <w:vAlign w:val="center"/>
          </w:tcPr>
          <w:p w14:paraId="3527C2D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技术标评分</w:t>
            </w:r>
          </w:p>
        </w:tc>
        <w:tc>
          <w:tcPr>
            <w:tcW w:w="2696" w:type="dxa"/>
            <w:gridSpan w:val="2"/>
            <w:vAlign w:val="center"/>
          </w:tcPr>
          <w:p w14:paraId="65A8DFF9">
            <w:pPr>
              <w:snapToGrid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评分标准</w:t>
            </w:r>
          </w:p>
        </w:tc>
        <w:tc>
          <w:tcPr>
            <w:tcW w:w="4737" w:type="dxa"/>
            <w:vAlign w:val="center"/>
          </w:tcPr>
          <w:p w14:paraId="2E250201">
            <w:pPr>
              <w:snapToGrid w:val="0"/>
              <w:jc w:val="center"/>
              <w:rPr>
                <w:rFonts w:ascii="仿宋" w:hAnsi="仿宋" w:eastAsia="仿宋" w:cs="宋体"/>
                <w:b/>
                <w:color w:val="auto"/>
                <w:kern w:val="0"/>
                <w:sz w:val="24"/>
                <w:szCs w:val="24"/>
                <w:highlight w:val="none"/>
              </w:rPr>
            </w:pPr>
          </w:p>
        </w:tc>
        <w:tc>
          <w:tcPr>
            <w:tcW w:w="1081" w:type="dxa"/>
            <w:vAlign w:val="center"/>
          </w:tcPr>
          <w:p w14:paraId="6AD7C628">
            <w:pPr>
              <w:snapToGrid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分值</w:t>
            </w:r>
          </w:p>
        </w:tc>
      </w:tr>
      <w:tr w14:paraId="5B5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64" w:type="dxa"/>
            <w:vMerge w:val="continue"/>
            <w:vAlign w:val="center"/>
          </w:tcPr>
          <w:p w14:paraId="069EC575">
            <w:pPr>
              <w:snapToGrid w:val="0"/>
              <w:ind w:left="113" w:right="113"/>
              <w:jc w:val="center"/>
              <w:rPr>
                <w:rFonts w:ascii="仿宋" w:hAnsi="仿宋" w:eastAsia="仿宋" w:cs="宋体"/>
                <w:b/>
                <w:color w:val="auto"/>
                <w:sz w:val="24"/>
                <w:szCs w:val="24"/>
                <w:highlight w:val="none"/>
              </w:rPr>
            </w:pPr>
          </w:p>
        </w:tc>
        <w:tc>
          <w:tcPr>
            <w:tcW w:w="464" w:type="dxa"/>
            <w:vAlign w:val="center"/>
          </w:tcPr>
          <w:p w14:paraId="7325EDD4">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1</w:t>
            </w:r>
          </w:p>
        </w:tc>
        <w:tc>
          <w:tcPr>
            <w:tcW w:w="2232" w:type="dxa"/>
            <w:vAlign w:val="center"/>
          </w:tcPr>
          <w:p w14:paraId="5B8E8313">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人员配置及分工</w:t>
            </w:r>
          </w:p>
        </w:tc>
        <w:tc>
          <w:tcPr>
            <w:tcW w:w="4737" w:type="dxa"/>
            <w:vAlign w:val="center"/>
          </w:tcPr>
          <w:p w14:paraId="6F2D38B8">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代理大纲中对相应人员的组织分工明确、专业配置是否合理，人员资质证书等（人员必须全部为投标单位的正式职工，要求在本单位供职一年以上，以在本单位缴纳的近一年的社保记录为准）。投标人间横向对比，0-</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1081" w:type="dxa"/>
            <w:vAlign w:val="center"/>
          </w:tcPr>
          <w:p w14:paraId="0EEC660F">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分</w:t>
            </w:r>
          </w:p>
        </w:tc>
      </w:tr>
      <w:tr w14:paraId="1D12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64" w:type="dxa"/>
            <w:vMerge w:val="continue"/>
            <w:vAlign w:val="center"/>
          </w:tcPr>
          <w:p w14:paraId="3B33BF8F">
            <w:pPr>
              <w:snapToGrid w:val="0"/>
              <w:jc w:val="center"/>
              <w:rPr>
                <w:rFonts w:ascii="仿宋" w:hAnsi="仿宋" w:eastAsia="仿宋" w:cs="宋体"/>
                <w:b/>
                <w:color w:val="auto"/>
                <w:sz w:val="24"/>
                <w:szCs w:val="24"/>
                <w:highlight w:val="none"/>
              </w:rPr>
            </w:pPr>
          </w:p>
        </w:tc>
        <w:tc>
          <w:tcPr>
            <w:tcW w:w="464" w:type="dxa"/>
            <w:vAlign w:val="center"/>
          </w:tcPr>
          <w:p w14:paraId="6A697F91">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2</w:t>
            </w:r>
          </w:p>
        </w:tc>
        <w:tc>
          <w:tcPr>
            <w:tcW w:w="2232" w:type="dxa"/>
            <w:vAlign w:val="center"/>
          </w:tcPr>
          <w:p w14:paraId="11A82352">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招标代理的质量及进度</w:t>
            </w:r>
          </w:p>
        </w:tc>
        <w:tc>
          <w:tcPr>
            <w:tcW w:w="4737" w:type="dxa"/>
            <w:vAlign w:val="center"/>
          </w:tcPr>
          <w:p w14:paraId="136D519B">
            <w:pPr>
              <w:spacing w:line="240" w:lineRule="atLeas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招标代理的质量及进度是否科学合理及保证措施，根据各投标单位服务响应能力，本地化服务能力，服务响应时间及熟悉本地化政策等方面考虑。投标人间横向对比，0-</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1081" w:type="dxa"/>
            <w:vAlign w:val="center"/>
          </w:tcPr>
          <w:p w14:paraId="6B372AB8">
            <w:pPr>
              <w:spacing w:line="240" w:lineRule="atLeast"/>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分</w:t>
            </w:r>
          </w:p>
        </w:tc>
      </w:tr>
      <w:tr w14:paraId="6FED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64" w:type="dxa"/>
            <w:vMerge w:val="continue"/>
            <w:vAlign w:val="center"/>
          </w:tcPr>
          <w:p w14:paraId="66D76057">
            <w:pPr>
              <w:snapToGrid w:val="0"/>
              <w:jc w:val="center"/>
              <w:rPr>
                <w:rFonts w:ascii="仿宋" w:hAnsi="仿宋" w:eastAsia="仿宋" w:cs="宋体"/>
                <w:b/>
                <w:color w:val="auto"/>
                <w:sz w:val="24"/>
                <w:szCs w:val="24"/>
                <w:highlight w:val="none"/>
              </w:rPr>
            </w:pPr>
          </w:p>
        </w:tc>
        <w:tc>
          <w:tcPr>
            <w:tcW w:w="464" w:type="dxa"/>
            <w:vAlign w:val="center"/>
          </w:tcPr>
          <w:p w14:paraId="280F6CD6">
            <w:pPr>
              <w:spacing w:line="240" w:lineRule="atLeas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2232" w:type="dxa"/>
            <w:vAlign w:val="center"/>
          </w:tcPr>
          <w:p w14:paraId="494F634C">
            <w:pPr>
              <w:spacing w:line="240" w:lineRule="atLeast"/>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对医院招标项目的理解</w:t>
            </w:r>
          </w:p>
        </w:tc>
        <w:tc>
          <w:tcPr>
            <w:tcW w:w="4737" w:type="dxa"/>
            <w:vAlign w:val="center"/>
          </w:tcPr>
          <w:p w14:paraId="50072529">
            <w:pPr>
              <w:spacing w:line="240" w:lineRule="atLeas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根据医院不同类型的招标项目特点，提出招标方案及合理化建议</w:t>
            </w:r>
          </w:p>
        </w:tc>
        <w:tc>
          <w:tcPr>
            <w:tcW w:w="1081" w:type="dxa"/>
            <w:vAlign w:val="center"/>
          </w:tcPr>
          <w:p w14:paraId="251F8F95">
            <w:pPr>
              <w:spacing w:line="240" w:lineRule="atLeast"/>
              <w:jc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0-8</w:t>
            </w:r>
            <w:r>
              <w:rPr>
                <w:rFonts w:hint="eastAsia" w:ascii="仿宋" w:hAnsi="仿宋" w:eastAsia="仿宋" w:cs="宋体"/>
                <w:color w:val="auto"/>
                <w:sz w:val="24"/>
                <w:szCs w:val="24"/>
                <w:highlight w:val="none"/>
              </w:rPr>
              <w:t>分</w:t>
            </w:r>
          </w:p>
        </w:tc>
      </w:tr>
      <w:tr w14:paraId="0DC6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2648E8E7">
            <w:pPr>
              <w:snapToGrid w:val="0"/>
              <w:jc w:val="center"/>
              <w:rPr>
                <w:rFonts w:ascii="仿宋" w:hAnsi="仿宋" w:eastAsia="仿宋" w:cs="宋体"/>
                <w:b/>
                <w:color w:val="auto"/>
                <w:sz w:val="24"/>
                <w:szCs w:val="24"/>
                <w:highlight w:val="none"/>
              </w:rPr>
            </w:pPr>
          </w:p>
        </w:tc>
        <w:tc>
          <w:tcPr>
            <w:tcW w:w="464" w:type="dxa"/>
            <w:vAlign w:val="center"/>
          </w:tcPr>
          <w:p w14:paraId="58656074">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4</w:t>
            </w:r>
          </w:p>
        </w:tc>
        <w:tc>
          <w:tcPr>
            <w:tcW w:w="2232" w:type="dxa"/>
            <w:vAlign w:val="center"/>
          </w:tcPr>
          <w:p w14:paraId="3C10092B">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招标代理过程与各方沟通的保证措施，投诉处理方案</w:t>
            </w:r>
          </w:p>
        </w:tc>
        <w:tc>
          <w:tcPr>
            <w:tcW w:w="4737" w:type="dxa"/>
            <w:vAlign w:val="center"/>
          </w:tcPr>
          <w:p w14:paraId="098E4A81">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根据投标文件响应，酌情打分0-5分</w:t>
            </w:r>
          </w:p>
        </w:tc>
        <w:tc>
          <w:tcPr>
            <w:tcW w:w="1081" w:type="dxa"/>
            <w:vAlign w:val="center"/>
          </w:tcPr>
          <w:p w14:paraId="518F7BCE">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0-5分</w:t>
            </w:r>
          </w:p>
        </w:tc>
      </w:tr>
      <w:tr w14:paraId="3D7B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33E84629">
            <w:pPr>
              <w:snapToGrid w:val="0"/>
              <w:jc w:val="center"/>
              <w:rPr>
                <w:rFonts w:ascii="仿宋" w:hAnsi="仿宋" w:eastAsia="仿宋" w:cs="宋体"/>
                <w:b/>
                <w:color w:val="auto"/>
                <w:sz w:val="24"/>
                <w:szCs w:val="24"/>
                <w:highlight w:val="none"/>
              </w:rPr>
            </w:pPr>
          </w:p>
        </w:tc>
        <w:tc>
          <w:tcPr>
            <w:tcW w:w="464" w:type="dxa"/>
            <w:vAlign w:val="center"/>
          </w:tcPr>
          <w:p w14:paraId="4CDE26EC">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5</w:t>
            </w:r>
          </w:p>
        </w:tc>
        <w:tc>
          <w:tcPr>
            <w:tcW w:w="2232" w:type="dxa"/>
            <w:vAlign w:val="center"/>
          </w:tcPr>
          <w:p w14:paraId="40EA314B">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确保招标代理资料的合法性、完整性与及时性保证措施</w:t>
            </w:r>
          </w:p>
        </w:tc>
        <w:tc>
          <w:tcPr>
            <w:tcW w:w="4737" w:type="dxa"/>
            <w:vAlign w:val="center"/>
          </w:tcPr>
          <w:p w14:paraId="2AB337BB">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根据投标文件响应，酌情打分0-5分</w:t>
            </w:r>
          </w:p>
        </w:tc>
        <w:tc>
          <w:tcPr>
            <w:tcW w:w="1081" w:type="dxa"/>
            <w:vAlign w:val="center"/>
          </w:tcPr>
          <w:p w14:paraId="18D9E51F">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0-5分</w:t>
            </w:r>
          </w:p>
        </w:tc>
      </w:tr>
      <w:tr w14:paraId="650B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4" w:type="dxa"/>
            <w:vMerge w:val="continue"/>
            <w:vAlign w:val="center"/>
          </w:tcPr>
          <w:p w14:paraId="494F4374">
            <w:pPr>
              <w:snapToGrid w:val="0"/>
              <w:jc w:val="center"/>
              <w:rPr>
                <w:rFonts w:ascii="仿宋" w:hAnsi="仿宋" w:eastAsia="仿宋" w:cs="宋体"/>
                <w:b/>
                <w:color w:val="auto"/>
                <w:sz w:val="24"/>
                <w:szCs w:val="24"/>
                <w:highlight w:val="none"/>
              </w:rPr>
            </w:pPr>
          </w:p>
        </w:tc>
        <w:tc>
          <w:tcPr>
            <w:tcW w:w="464" w:type="dxa"/>
            <w:vAlign w:val="center"/>
          </w:tcPr>
          <w:p w14:paraId="44C1D20C">
            <w:pPr>
              <w:snapToGrid w:val="0"/>
              <w:jc w:val="center"/>
              <w:rPr>
                <w:rFonts w:hint="eastAsia" w:ascii="仿宋" w:hAnsi="仿宋" w:eastAsia="仿宋" w:cs="宋体"/>
                <w:bCs/>
                <w:color w:val="auto"/>
                <w:kern w:val="0"/>
                <w:sz w:val="24"/>
                <w:szCs w:val="24"/>
                <w:highlight w:val="none"/>
                <w:lang w:eastAsia="zh-CN"/>
              </w:rPr>
            </w:pPr>
            <w:r>
              <w:rPr>
                <w:rFonts w:hint="eastAsia" w:ascii="仿宋" w:hAnsi="仿宋" w:eastAsia="仿宋" w:cs="宋体"/>
                <w:bCs/>
                <w:color w:val="auto"/>
                <w:kern w:val="0"/>
                <w:sz w:val="24"/>
                <w:szCs w:val="24"/>
                <w:highlight w:val="none"/>
                <w:lang w:val="en-US" w:eastAsia="zh-CN"/>
              </w:rPr>
              <w:t>6</w:t>
            </w:r>
          </w:p>
        </w:tc>
        <w:tc>
          <w:tcPr>
            <w:tcW w:w="2232" w:type="dxa"/>
            <w:vAlign w:val="center"/>
          </w:tcPr>
          <w:p w14:paraId="438A5B23">
            <w:pPr>
              <w:spacing w:line="240" w:lineRule="atLeast"/>
              <w:jc w:val="center"/>
              <w:rPr>
                <w:rFonts w:ascii="仿宋" w:hAnsi="仿宋" w:eastAsia="仿宋" w:cs="宋体"/>
                <w:color w:val="auto"/>
                <w:sz w:val="24"/>
                <w:szCs w:val="24"/>
                <w:highlight w:val="none"/>
              </w:rPr>
            </w:pPr>
            <w:r>
              <w:rPr>
                <w:rFonts w:hint="eastAsia" w:ascii="仿宋" w:hAnsi="仿宋" w:eastAsia="仿宋" w:cs="仿宋"/>
                <w:color w:val="auto"/>
                <w:sz w:val="24"/>
                <w:szCs w:val="24"/>
              </w:rPr>
              <w:t>保护招标人权益的主要措施及保密措施</w:t>
            </w:r>
          </w:p>
        </w:tc>
        <w:tc>
          <w:tcPr>
            <w:tcW w:w="4737" w:type="dxa"/>
            <w:vAlign w:val="center"/>
          </w:tcPr>
          <w:p w14:paraId="719B6D06">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根据投标文件响应，酌情打分0-</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分</w:t>
            </w:r>
          </w:p>
        </w:tc>
        <w:tc>
          <w:tcPr>
            <w:tcW w:w="1081" w:type="dxa"/>
            <w:vAlign w:val="center"/>
          </w:tcPr>
          <w:p w14:paraId="0F3FEA5E">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分</w:t>
            </w:r>
          </w:p>
        </w:tc>
      </w:tr>
      <w:tr w14:paraId="089B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564" w:type="dxa"/>
            <w:vMerge w:val="continue"/>
            <w:vAlign w:val="center"/>
          </w:tcPr>
          <w:p w14:paraId="545BC917">
            <w:pPr>
              <w:snapToGrid w:val="0"/>
              <w:jc w:val="center"/>
              <w:rPr>
                <w:rFonts w:ascii="仿宋" w:hAnsi="仿宋" w:eastAsia="仿宋" w:cs="宋体"/>
                <w:b/>
                <w:color w:val="auto"/>
                <w:sz w:val="24"/>
                <w:szCs w:val="24"/>
                <w:highlight w:val="none"/>
              </w:rPr>
            </w:pPr>
          </w:p>
        </w:tc>
        <w:tc>
          <w:tcPr>
            <w:tcW w:w="464" w:type="dxa"/>
            <w:vAlign w:val="center"/>
          </w:tcPr>
          <w:p w14:paraId="116B3A6B">
            <w:pPr>
              <w:snapToGrid w:val="0"/>
              <w:jc w:val="center"/>
              <w:rPr>
                <w:rFonts w:hint="default" w:ascii="仿宋" w:hAnsi="仿宋" w:eastAsia="仿宋" w:cs="宋体"/>
                <w:bCs/>
                <w:color w:val="auto"/>
                <w:kern w:val="0"/>
                <w:sz w:val="24"/>
                <w:szCs w:val="24"/>
                <w:highlight w:val="none"/>
                <w:lang w:val="en-US" w:eastAsia="zh-CN"/>
              </w:rPr>
            </w:pPr>
            <w:r>
              <w:rPr>
                <w:rFonts w:hint="eastAsia" w:ascii="仿宋" w:hAnsi="仿宋" w:eastAsia="仿宋" w:cs="宋体"/>
                <w:bCs/>
                <w:color w:val="auto"/>
                <w:kern w:val="0"/>
                <w:sz w:val="24"/>
                <w:szCs w:val="24"/>
                <w:highlight w:val="none"/>
                <w:lang w:val="en-US" w:eastAsia="zh-CN"/>
              </w:rPr>
              <w:t>7</w:t>
            </w:r>
          </w:p>
        </w:tc>
        <w:tc>
          <w:tcPr>
            <w:tcW w:w="2232" w:type="dxa"/>
            <w:vAlign w:val="center"/>
          </w:tcPr>
          <w:p w14:paraId="00B56E9F">
            <w:pPr>
              <w:spacing w:line="240" w:lineRule="atLeast"/>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同类项目业绩</w:t>
            </w:r>
          </w:p>
        </w:tc>
        <w:tc>
          <w:tcPr>
            <w:tcW w:w="4737" w:type="dxa"/>
            <w:vAlign w:val="center"/>
          </w:tcPr>
          <w:p w14:paraId="0F162575">
            <w:pPr>
              <w:spacing w:line="240" w:lineRule="atLeas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20</w:t>
            </w:r>
            <w:r>
              <w:rPr>
                <w:rFonts w:hint="eastAsia" w:ascii="仿宋" w:hAnsi="仿宋" w:eastAsia="仿宋" w:cs="宋体"/>
                <w:color w:val="auto"/>
                <w:sz w:val="24"/>
                <w:szCs w:val="24"/>
                <w:highlight w:val="none"/>
                <w:lang w:val="en-US" w:eastAsia="zh-CN"/>
              </w:rPr>
              <w:t>23</w:t>
            </w:r>
            <w:r>
              <w:rPr>
                <w:rFonts w:hint="eastAsia" w:ascii="仿宋" w:hAnsi="仿宋" w:eastAsia="仿宋" w:cs="宋体"/>
                <w:color w:val="auto"/>
                <w:sz w:val="24"/>
                <w:szCs w:val="24"/>
                <w:highlight w:val="none"/>
              </w:rPr>
              <w:t>年1月1日以来已完成医院或卫生服务中心医疗设备、货物及服务招标项目业绩的，每个业绩得</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分</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同一家医院项目累计不超过</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分</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最高得</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分。（提供委托代理合同或协议复印件、项目中标通知书复印件或合同复印件，两项齐备为有效业绩，缺项无效）。</w:t>
            </w:r>
          </w:p>
        </w:tc>
        <w:tc>
          <w:tcPr>
            <w:tcW w:w="1081" w:type="dxa"/>
            <w:vAlign w:val="center"/>
          </w:tcPr>
          <w:p w14:paraId="55050B2B">
            <w:pPr>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0-</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分</w:t>
            </w:r>
          </w:p>
        </w:tc>
      </w:tr>
      <w:tr w14:paraId="0D5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64" w:type="dxa"/>
            <w:vMerge w:val="continue"/>
            <w:vAlign w:val="center"/>
          </w:tcPr>
          <w:p w14:paraId="797B9A83">
            <w:pPr>
              <w:snapToGrid w:val="0"/>
              <w:jc w:val="center"/>
              <w:rPr>
                <w:rFonts w:ascii="仿宋" w:hAnsi="仿宋" w:eastAsia="仿宋" w:cs="宋体"/>
                <w:b/>
                <w:color w:val="auto"/>
                <w:sz w:val="24"/>
                <w:szCs w:val="24"/>
                <w:highlight w:val="none"/>
              </w:rPr>
            </w:pPr>
          </w:p>
        </w:tc>
        <w:tc>
          <w:tcPr>
            <w:tcW w:w="464" w:type="dxa"/>
            <w:vAlign w:val="center"/>
          </w:tcPr>
          <w:p w14:paraId="1AB73F8C">
            <w:pPr>
              <w:snapToGrid w:val="0"/>
              <w:jc w:val="center"/>
              <w:rPr>
                <w:rFonts w:hint="default" w:ascii="仿宋" w:hAnsi="仿宋" w:eastAsia="仿宋" w:cs="宋体"/>
                <w:bCs/>
                <w:color w:val="auto"/>
                <w:kern w:val="0"/>
                <w:sz w:val="24"/>
                <w:szCs w:val="24"/>
                <w:highlight w:val="none"/>
                <w:lang w:val="en-US" w:eastAsia="zh-CN"/>
              </w:rPr>
            </w:pPr>
            <w:r>
              <w:rPr>
                <w:rFonts w:hint="eastAsia" w:ascii="仿宋" w:hAnsi="仿宋" w:eastAsia="仿宋" w:cs="宋体"/>
                <w:bCs/>
                <w:color w:val="auto"/>
                <w:kern w:val="0"/>
                <w:sz w:val="24"/>
                <w:szCs w:val="24"/>
                <w:highlight w:val="none"/>
                <w:lang w:val="en-US" w:eastAsia="zh-CN"/>
              </w:rPr>
              <w:t>8</w:t>
            </w:r>
          </w:p>
        </w:tc>
        <w:tc>
          <w:tcPr>
            <w:tcW w:w="2232" w:type="dxa"/>
            <w:vAlign w:val="center"/>
          </w:tcPr>
          <w:p w14:paraId="4F0229BD">
            <w:pPr>
              <w:spacing w:line="240" w:lineRule="atLeas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Cs/>
                <w:color w:val="auto"/>
                <w:spacing w:val="-6"/>
                <w:sz w:val="24"/>
                <w:szCs w:val="24"/>
                <w:highlight w:val="none"/>
              </w:rPr>
              <w:t>政府采购代理机构</w:t>
            </w:r>
            <w:r>
              <w:rPr>
                <w:rFonts w:hint="eastAsia" w:ascii="仿宋" w:hAnsi="仿宋" w:eastAsia="仿宋" w:cs="仿宋"/>
                <w:bCs/>
                <w:color w:val="auto"/>
                <w:spacing w:val="-6"/>
                <w:sz w:val="24"/>
                <w:szCs w:val="24"/>
                <w:highlight w:val="none"/>
                <w:lang w:val="en-US" w:eastAsia="zh-CN"/>
              </w:rPr>
              <w:t>考核</w:t>
            </w:r>
          </w:p>
        </w:tc>
        <w:tc>
          <w:tcPr>
            <w:tcW w:w="4737" w:type="dxa"/>
            <w:vAlign w:val="center"/>
          </w:tcPr>
          <w:p w14:paraId="514F9C78">
            <w:pPr>
              <w:spacing w:line="24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pacing w:val="-6"/>
                <w:sz w:val="24"/>
                <w:szCs w:val="24"/>
                <w:highlight w:val="none"/>
              </w:rPr>
              <w:t>根据202</w:t>
            </w:r>
            <w:r>
              <w:rPr>
                <w:rFonts w:hint="eastAsia" w:ascii="仿宋" w:hAnsi="仿宋" w:eastAsia="仿宋" w:cs="仿宋"/>
                <w:bCs/>
                <w:color w:val="auto"/>
                <w:spacing w:val="-6"/>
                <w:sz w:val="24"/>
                <w:szCs w:val="24"/>
                <w:highlight w:val="none"/>
                <w:lang w:val="en-US" w:eastAsia="zh-CN"/>
              </w:rPr>
              <w:t>5</w:t>
            </w:r>
            <w:r>
              <w:rPr>
                <w:rFonts w:hint="eastAsia" w:ascii="仿宋" w:hAnsi="仿宋" w:eastAsia="仿宋" w:cs="仿宋"/>
                <w:bCs/>
                <w:color w:val="auto"/>
                <w:spacing w:val="-6"/>
                <w:sz w:val="24"/>
                <w:szCs w:val="24"/>
                <w:highlight w:val="none"/>
              </w:rPr>
              <w:t>年第</w:t>
            </w:r>
            <w:r>
              <w:rPr>
                <w:rFonts w:hint="eastAsia" w:ascii="仿宋" w:hAnsi="仿宋" w:eastAsia="仿宋" w:cs="仿宋"/>
                <w:bCs/>
                <w:color w:val="auto"/>
                <w:spacing w:val="-6"/>
                <w:sz w:val="24"/>
                <w:szCs w:val="24"/>
                <w:highlight w:val="none"/>
                <w:lang w:val="en-US" w:eastAsia="zh-CN"/>
              </w:rPr>
              <w:t>四</w:t>
            </w:r>
            <w:r>
              <w:rPr>
                <w:rFonts w:hint="eastAsia" w:ascii="仿宋" w:hAnsi="仿宋" w:eastAsia="仿宋" w:cs="仿宋"/>
                <w:bCs/>
                <w:color w:val="auto"/>
                <w:spacing w:val="-6"/>
                <w:sz w:val="24"/>
                <w:szCs w:val="24"/>
                <w:highlight w:val="none"/>
              </w:rPr>
              <w:t>季度义乌市政府采购代理机构考核</w:t>
            </w:r>
            <w:r>
              <w:rPr>
                <w:rFonts w:hint="eastAsia" w:ascii="仿宋" w:hAnsi="仿宋" w:eastAsia="仿宋" w:cs="仿宋"/>
                <w:bCs/>
                <w:color w:val="auto"/>
                <w:spacing w:val="-6"/>
                <w:sz w:val="24"/>
                <w:szCs w:val="24"/>
                <w:highlight w:val="none"/>
                <w:lang w:val="en-US" w:eastAsia="zh-CN"/>
              </w:rPr>
              <w:t>结果</w:t>
            </w:r>
            <w:r>
              <w:rPr>
                <w:rFonts w:hint="eastAsia" w:ascii="仿宋" w:hAnsi="仿宋" w:eastAsia="仿宋" w:cs="仿宋"/>
                <w:bCs/>
                <w:color w:val="auto"/>
                <w:spacing w:val="-6"/>
                <w:sz w:val="24"/>
                <w:szCs w:val="24"/>
                <w:highlight w:val="none"/>
              </w:rPr>
              <w:t>，</w:t>
            </w:r>
            <w:r>
              <w:rPr>
                <w:rFonts w:hint="eastAsia" w:ascii="仿宋" w:hAnsi="仿宋" w:eastAsia="仿宋" w:cs="仿宋"/>
                <w:bCs/>
                <w:color w:val="auto"/>
                <w:spacing w:val="-6"/>
                <w:sz w:val="24"/>
                <w:szCs w:val="24"/>
                <w:highlight w:val="none"/>
                <w:lang w:eastAsia="zh-CN"/>
              </w:rPr>
              <w:t>投标人</w:t>
            </w:r>
            <w:r>
              <w:rPr>
                <w:rFonts w:hint="eastAsia" w:ascii="仿宋" w:hAnsi="仿宋" w:eastAsia="仿宋" w:cs="仿宋"/>
                <w:bCs/>
                <w:color w:val="auto"/>
                <w:spacing w:val="-6"/>
                <w:sz w:val="24"/>
                <w:szCs w:val="24"/>
                <w:highlight w:val="none"/>
                <w:lang w:val="en-US" w:eastAsia="zh-CN"/>
              </w:rPr>
              <w:t>考核结果</w:t>
            </w:r>
            <w:r>
              <w:rPr>
                <w:rFonts w:hint="eastAsia" w:ascii="仿宋" w:hAnsi="仿宋" w:eastAsia="仿宋" w:cs="仿宋"/>
                <w:bCs/>
                <w:color w:val="auto"/>
                <w:spacing w:val="-6"/>
                <w:sz w:val="24"/>
                <w:szCs w:val="24"/>
                <w:highlight w:val="none"/>
              </w:rPr>
              <w:t>9</w:t>
            </w:r>
            <w:r>
              <w:rPr>
                <w:rFonts w:hint="eastAsia" w:ascii="仿宋" w:hAnsi="仿宋" w:eastAsia="仿宋" w:cs="仿宋"/>
                <w:bCs/>
                <w:color w:val="auto"/>
                <w:spacing w:val="-6"/>
                <w:sz w:val="24"/>
                <w:szCs w:val="24"/>
                <w:highlight w:val="none"/>
                <w:lang w:val="en-US" w:eastAsia="zh-CN"/>
              </w:rPr>
              <w:t>9</w:t>
            </w:r>
            <w:r>
              <w:rPr>
                <w:rFonts w:hint="eastAsia" w:ascii="仿宋" w:hAnsi="仿宋" w:eastAsia="仿宋" w:cs="仿宋"/>
                <w:bCs/>
                <w:color w:val="auto"/>
                <w:spacing w:val="-6"/>
                <w:sz w:val="24"/>
                <w:szCs w:val="24"/>
                <w:highlight w:val="none"/>
              </w:rPr>
              <w:t>分（含）以上的得5分，9</w:t>
            </w:r>
            <w:r>
              <w:rPr>
                <w:rFonts w:hint="eastAsia" w:ascii="仿宋" w:hAnsi="仿宋" w:eastAsia="仿宋" w:cs="仿宋"/>
                <w:bCs/>
                <w:color w:val="auto"/>
                <w:spacing w:val="-6"/>
                <w:sz w:val="24"/>
                <w:szCs w:val="24"/>
                <w:highlight w:val="none"/>
                <w:lang w:val="en-US" w:eastAsia="zh-CN"/>
              </w:rPr>
              <w:t>9</w:t>
            </w:r>
            <w:r>
              <w:rPr>
                <w:rFonts w:hint="eastAsia" w:ascii="仿宋" w:hAnsi="仿宋" w:eastAsia="仿宋" w:cs="仿宋"/>
                <w:bCs/>
                <w:color w:val="auto"/>
                <w:spacing w:val="-6"/>
                <w:sz w:val="24"/>
                <w:szCs w:val="24"/>
                <w:highlight w:val="none"/>
              </w:rPr>
              <w:t>分以下至9</w:t>
            </w:r>
            <w:r>
              <w:rPr>
                <w:rFonts w:hint="eastAsia" w:ascii="仿宋" w:hAnsi="仿宋" w:eastAsia="仿宋" w:cs="仿宋"/>
                <w:bCs/>
                <w:color w:val="auto"/>
                <w:spacing w:val="-6"/>
                <w:sz w:val="24"/>
                <w:szCs w:val="24"/>
                <w:highlight w:val="none"/>
                <w:lang w:val="en-US" w:eastAsia="zh-CN"/>
              </w:rPr>
              <w:t>8</w:t>
            </w:r>
            <w:r>
              <w:rPr>
                <w:rFonts w:hint="eastAsia" w:ascii="仿宋" w:hAnsi="仿宋" w:eastAsia="仿宋" w:cs="仿宋"/>
                <w:bCs/>
                <w:color w:val="auto"/>
                <w:spacing w:val="-6"/>
                <w:sz w:val="24"/>
                <w:szCs w:val="24"/>
                <w:highlight w:val="none"/>
              </w:rPr>
              <w:t>分（含）的得</w:t>
            </w:r>
            <w:r>
              <w:rPr>
                <w:rFonts w:hint="eastAsia" w:ascii="仿宋" w:hAnsi="仿宋" w:eastAsia="仿宋" w:cs="仿宋"/>
                <w:bCs/>
                <w:color w:val="auto"/>
                <w:spacing w:val="-6"/>
                <w:sz w:val="24"/>
                <w:szCs w:val="24"/>
                <w:highlight w:val="none"/>
                <w:lang w:val="en-US" w:eastAsia="zh-CN"/>
              </w:rPr>
              <w:t>2</w:t>
            </w:r>
            <w:r>
              <w:rPr>
                <w:rFonts w:hint="eastAsia" w:ascii="仿宋" w:hAnsi="仿宋" w:eastAsia="仿宋" w:cs="仿宋"/>
                <w:bCs/>
                <w:color w:val="auto"/>
                <w:spacing w:val="-6"/>
                <w:sz w:val="24"/>
                <w:szCs w:val="24"/>
                <w:highlight w:val="none"/>
              </w:rPr>
              <w:t>分，9</w:t>
            </w:r>
            <w:r>
              <w:rPr>
                <w:rFonts w:hint="eastAsia" w:ascii="仿宋" w:hAnsi="仿宋" w:eastAsia="仿宋" w:cs="仿宋"/>
                <w:bCs/>
                <w:color w:val="auto"/>
                <w:spacing w:val="-6"/>
                <w:sz w:val="24"/>
                <w:szCs w:val="24"/>
                <w:highlight w:val="none"/>
                <w:lang w:val="en-US" w:eastAsia="zh-CN"/>
              </w:rPr>
              <w:t>8</w:t>
            </w:r>
            <w:r>
              <w:rPr>
                <w:rFonts w:hint="eastAsia" w:ascii="仿宋" w:hAnsi="仿宋" w:eastAsia="仿宋" w:cs="仿宋"/>
                <w:bCs/>
                <w:color w:val="auto"/>
                <w:spacing w:val="-6"/>
                <w:sz w:val="24"/>
                <w:szCs w:val="24"/>
                <w:highlight w:val="none"/>
              </w:rPr>
              <w:t>以下不得分</w:t>
            </w:r>
            <w:r>
              <w:rPr>
                <w:rFonts w:hint="eastAsia" w:ascii="仿宋" w:hAnsi="仿宋" w:eastAsia="仿宋" w:cs="仿宋"/>
                <w:bCs/>
                <w:color w:val="auto"/>
                <w:spacing w:val="-6"/>
                <w:sz w:val="24"/>
                <w:szCs w:val="24"/>
                <w:highlight w:val="none"/>
                <w:lang w:eastAsia="zh-CN"/>
              </w:rPr>
              <w:t>；</w:t>
            </w:r>
            <w:r>
              <w:rPr>
                <w:rFonts w:hint="eastAsia" w:ascii="仿宋" w:hAnsi="仿宋" w:eastAsia="仿宋" w:cs="仿宋"/>
                <w:bCs/>
                <w:color w:val="auto"/>
                <w:spacing w:val="-6"/>
                <w:sz w:val="24"/>
                <w:szCs w:val="24"/>
                <w:highlight w:val="none"/>
              </w:rPr>
              <w:t>以截图为准</w:t>
            </w:r>
            <w:r>
              <w:rPr>
                <w:rFonts w:hint="eastAsia" w:ascii="仿宋" w:hAnsi="仿宋" w:eastAsia="仿宋" w:cs="仿宋"/>
                <w:bCs/>
                <w:color w:val="auto"/>
                <w:spacing w:val="-6"/>
                <w:sz w:val="24"/>
                <w:szCs w:val="24"/>
                <w:highlight w:val="none"/>
                <w:lang w:eastAsia="zh-CN"/>
              </w:rPr>
              <w:t>。</w:t>
            </w:r>
          </w:p>
        </w:tc>
        <w:tc>
          <w:tcPr>
            <w:tcW w:w="1081" w:type="dxa"/>
            <w:vAlign w:val="center"/>
          </w:tcPr>
          <w:p w14:paraId="568F23D8">
            <w:pPr>
              <w:spacing w:line="360" w:lineRule="auto"/>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0-5分</w:t>
            </w:r>
          </w:p>
        </w:tc>
      </w:tr>
      <w:tr w14:paraId="2971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260" w:type="dxa"/>
            <w:gridSpan w:val="3"/>
            <w:vAlign w:val="center"/>
          </w:tcPr>
          <w:p w14:paraId="73E81B9D">
            <w:pPr>
              <w:snapToGrid w:val="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总     计</w:t>
            </w:r>
          </w:p>
        </w:tc>
        <w:tc>
          <w:tcPr>
            <w:tcW w:w="4737" w:type="dxa"/>
            <w:vAlign w:val="center"/>
          </w:tcPr>
          <w:p w14:paraId="2E3FAD00">
            <w:pPr>
              <w:snapToGrid w:val="0"/>
              <w:jc w:val="center"/>
              <w:rPr>
                <w:rFonts w:ascii="仿宋" w:hAnsi="仿宋" w:eastAsia="仿宋" w:cs="宋体"/>
                <w:bCs/>
                <w:color w:val="auto"/>
                <w:kern w:val="0"/>
                <w:sz w:val="24"/>
                <w:szCs w:val="24"/>
                <w:highlight w:val="none"/>
              </w:rPr>
            </w:pPr>
          </w:p>
        </w:tc>
        <w:tc>
          <w:tcPr>
            <w:tcW w:w="1081" w:type="dxa"/>
            <w:vAlign w:val="center"/>
          </w:tcPr>
          <w:p w14:paraId="0410DC72">
            <w:pPr>
              <w:snapToGrid w:val="0"/>
              <w:jc w:val="center"/>
              <w:rPr>
                <w:rFonts w:ascii="仿宋" w:hAnsi="仿宋" w:eastAsia="仿宋" w:cs="宋体"/>
                <w:bCs/>
                <w:color w:val="auto"/>
                <w:kern w:val="0"/>
                <w:sz w:val="24"/>
                <w:szCs w:val="24"/>
                <w:highlight w:val="none"/>
              </w:rPr>
            </w:pPr>
            <w:r>
              <w:rPr>
                <w:rFonts w:hint="eastAsia" w:ascii="仿宋" w:hAnsi="仿宋" w:eastAsia="仿宋" w:cs="宋体"/>
                <w:bCs/>
                <w:color w:val="auto"/>
                <w:kern w:val="0"/>
                <w:sz w:val="24"/>
                <w:szCs w:val="24"/>
                <w:highlight w:val="none"/>
                <w:lang w:val="en-US" w:eastAsia="zh-CN"/>
              </w:rPr>
              <w:t>5</w:t>
            </w:r>
            <w:r>
              <w:rPr>
                <w:rFonts w:ascii="仿宋" w:hAnsi="仿宋" w:eastAsia="仿宋" w:cs="宋体"/>
                <w:bCs/>
                <w:color w:val="auto"/>
                <w:kern w:val="0"/>
                <w:sz w:val="24"/>
                <w:szCs w:val="24"/>
                <w:highlight w:val="none"/>
              </w:rPr>
              <w:t>0</w:t>
            </w:r>
            <w:r>
              <w:rPr>
                <w:rFonts w:hint="eastAsia" w:ascii="仿宋" w:hAnsi="仿宋" w:eastAsia="仿宋" w:cs="宋体"/>
                <w:bCs/>
                <w:color w:val="auto"/>
                <w:kern w:val="0"/>
                <w:sz w:val="24"/>
                <w:szCs w:val="24"/>
                <w:highlight w:val="none"/>
              </w:rPr>
              <w:t>分</w:t>
            </w:r>
          </w:p>
        </w:tc>
      </w:tr>
    </w:tbl>
    <w:p w14:paraId="334589BF">
      <w:pPr>
        <w:adjustRightInd w:val="0"/>
        <w:snapToGrid w:val="0"/>
        <w:spacing w:line="360" w:lineRule="auto"/>
        <w:rPr>
          <w:rFonts w:ascii="仿宋" w:hAnsi="仿宋" w:eastAsia="仿宋" w:cs="宋体"/>
          <w:color w:val="auto"/>
          <w:kern w:val="0"/>
          <w:sz w:val="24"/>
          <w:szCs w:val="24"/>
          <w:highlight w:val="none"/>
        </w:rPr>
      </w:pPr>
    </w:p>
    <w:p w14:paraId="591B57D1">
      <w:pPr>
        <w:pStyle w:val="13"/>
        <w:rPr>
          <w:rFonts w:hint="eastAsia" w:ascii="仿宋" w:hAnsi="仿宋" w:eastAsia="仿宋"/>
          <w:color w:val="auto"/>
          <w:sz w:val="24"/>
          <w:highlight w:val="none"/>
          <w:lang w:eastAsia="zh-CN"/>
        </w:rPr>
      </w:pPr>
    </w:p>
    <w:p w14:paraId="0BA5B315">
      <w:pPr>
        <w:adjustRightInd w:val="0"/>
        <w:snapToGrid w:val="0"/>
        <w:spacing w:line="360" w:lineRule="auto"/>
        <w:rPr>
          <w:rFonts w:ascii="仿宋" w:hAnsi="仿宋" w:eastAsia="仿宋"/>
          <w:color w:val="auto"/>
          <w:sz w:val="24"/>
          <w:highlight w:val="none"/>
        </w:rPr>
      </w:pPr>
      <w:r>
        <w:rPr>
          <w:rFonts w:hint="eastAsia" w:ascii="仿宋" w:hAnsi="仿宋" w:eastAsia="仿宋"/>
          <w:color w:val="auto"/>
          <w:sz w:val="24"/>
          <w:highlight w:val="none"/>
        </w:rPr>
        <w:t>二、</w:t>
      </w:r>
      <w:r>
        <w:rPr>
          <w:rFonts w:ascii="仿宋" w:hAnsi="仿宋" w:eastAsia="仿宋"/>
          <w:color w:val="auto"/>
          <w:sz w:val="24"/>
          <w:highlight w:val="none"/>
        </w:rPr>
        <w:t>商务标详细评审（</w:t>
      </w:r>
      <w:r>
        <w:rPr>
          <w:rFonts w:hint="eastAsia" w:ascii="仿宋" w:hAnsi="仿宋" w:eastAsia="仿宋"/>
          <w:color w:val="auto"/>
          <w:sz w:val="24"/>
          <w:highlight w:val="none"/>
          <w:u w:val="single"/>
          <w:lang w:val="en-US" w:eastAsia="zh-CN"/>
        </w:rPr>
        <w:t>5</w:t>
      </w:r>
      <w:r>
        <w:rPr>
          <w:rFonts w:hint="eastAsia" w:ascii="仿宋" w:hAnsi="仿宋" w:eastAsia="仿宋"/>
          <w:color w:val="auto"/>
          <w:sz w:val="24"/>
          <w:highlight w:val="none"/>
          <w:u w:val="single"/>
        </w:rPr>
        <w:t>0</w:t>
      </w:r>
      <w:r>
        <w:rPr>
          <w:rFonts w:ascii="仿宋" w:hAnsi="仿宋" w:eastAsia="仿宋"/>
          <w:color w:val="auto"/>
          <w:sz w:val="24"/>
          <w:highlight w:val="none"/>
        </w:rPr>
        <w:t>分）</w:t>
      </w:r>
    </w:p>
    <w:tbl>
      <w:tblPr>
        <w:tblStyle w:val="11"/>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365"/>
        <w:gridCol w:w="4541"/>
        <w:gridCol w:w="1151"/>
      </w:tblGrid>
      <w:tr w14:paraId="5610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7" w:type="dxa"/>
            <w:vAlign w:val="center"/>
          </w:tcPr>
          <w:p w14:paraId="28B2E9EF">
            <w:pPr>
              <w:widowControl/>
              <w:spacing w:line="420" w:lineRule="atLeast"/>
              <w:jc w:val="center"/>
              <w:rPr>
                <w:rFonts w:ascii="仿宋" w:hAnsi="仿宋" w:eastAsia="仿宋" w:cs="宋体"/>
                <w:color w:val="auto"/>
                <w:kern w:val="0"/>
                <w:sz w:val="24"/>
                <w:szCs w:val="24"/>
                <w:highlight w:val="none"/>
                <w:vertAlign w:val="baseline"/>
              </w:rPr>
            </w:pPr>
          </w:p>
        </w:tc>
        <w:tc>
          <w:tcPr>
            <w:tcW w:w="2365" w:type="dxa"/>
            <w:vAlign w:val="center"/>
          </w:tcPr>
          <w:p w14:paraId="4B278B25">
            <w:pPr>
              <w:widowControl/>
              <w:spacing w:line="420" w:lineRule="atLeast"/>
              <w:jc w:val="center"/>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价格分</w:t>
            </w:r>
          </w:p>
        </w:tc>
        <w:tc>
          <w:tcPr>
            <w:tcW w:w="4541" w:type="dxa"/>
            <w:vAlign w:val="center"/>
          </w:tcPr>
          <w:p w14:paraId="2F77979E">
            <w:pPr>
              <w:widowControl/>
              <w:spacing w:line="420" w:lineRule="atLeast"/>
              <w:jc w:val="center"/>
              <w:rPr>
                <w:rFonts w:ascii="仿宋" w:hAnsi="仿宋" w:eastAsia="仿宋" w:cs="宋体"/>
                <w:color w:val="auto"/>
                <w:kern w:val="0"/>
                <w:sz w:val="24"/>
                <w:szCs w:val="24"/>
                <w:highlight w:val="none"/>
                <w:vertAlign w:val="baseline"/>
              </w:rPr>
            </w:pPr>
          </w:p>
        </w:tc>
        <w:tc>
          <w:tcPr>
            <w:tcW w:w="1151" w:type="dxa"/>
            <w:vAlign w:val="center"/>
          </w:tcPr>
          <w:p w14:paraId="1668551C">
            <w:pPr>
              <w:widowControl/>
              <w:spacing w:line="420" w:lineRule="atLeast"/>
              <w:jc w:val="center"/>
              <w:rPr>
                <w:rFonts w:ascii="仿宋" w:hAnsi="仿宋" w:eastAsia="仿宋" w:cs="宋体"/>
                <w:color w:val="auto"/>
                <w:kern w:val="0"/>
                <w:sz w:val="24"/>
                <w:szCs w:val="24"/>
                <w:highlight w:val="none"/>
                <w:vertAlign w:val="baseline"/>
              </w:rPr>
            </w:pPr>
          </w:p>
        </w:tc>
      </w:tr>
      <w:tr w14:paraId="2F5A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767" w:type="dxa"/>
            <w:vAlign w:val="center"/>
          </w:tcPr>
          <w:p w14:paraId="7B1745A6">
            <w:pPr>
              <w:widowControl/>
              <w:spacing w:line="420" w:lineRule="atLeast"/>
              <w:jc w:val="center"/>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1</w:t>
            </w:r>
          </w:p>
        </w:tc>
        <w:tc>
          <w:tcPr>
            <w:tcW w:w="2365" w:type="dxa"/>
            <w:vAlign w:val="center"/>
          </w:tcPr>
          <w:p w14:paraId="7E3BAE58">
            <w:pPr>
              <w:adjustRightInd w:val="0"/>
              <w:snapToGrid w:val="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投标</w:t>
            </w:r>
            <w:r>
              <w:rPr>
                <w:rFonts w:hint="eastAsia" w:ascii="仿宋" w:hAnsi="仿宋" w:eastAsia="仿宋" w:cs="仿宋"/>
                <w:color w:val="auto"/>
                <w:spacing w:val="-6"/>
                <w:sz w:val="24"/>
                <w:szCs w:val="24"/>
                <w:highlight w:val="none"/>
              </w:rPr>
              <w:t>报价</w:t>
            </w:r>
          </w:p>
        </w:tc>
        <w:tc>
          <w:tcPr>
            <w:tcW w:w="4541" w:type="dxa"/>
            <w:vAlign w:val="center"/>
          </w:tcPr>
          <w:p w14:paraId="0E878098">
            <w:pPr>
              <w:adjustRightInd w:val="0"/>
              <w:snapToGrid w:val="0"/>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价格分采用低价优先法计算，即：满足招标文件要求且报价最低的</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的价格为评审基准价。价格分按照下列公式计算：</w:t>
            </w:r>
          </w:p>
          <w:p w14:paraId="7A7BAC52">
            <w:pPr>
              <w:adjustRightInd w:val="0"/>
              <w:snapToGrid w:val="0"/>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价格分=（评标基准价/</w:t>
            </w:r>
            <w:r>
              <w:rPr>
                <w:rFonts w:hint="eastAsia" w:ascii="仿宋" w:hAnsi="仿宋" w:eastAsia="仿宋" w:cs="仿宋"/>
                <w:color w:val="auto"/>
                <w:spacing w:val="-6"/>
                <w:sz w:val="24"/>
                <w:szCs w:val="24"/>
                <w:highlight w:val="none"/>
                <w:lang w:val="en-US" w:eastAsia="zh-CN"/>
              </w:rPr>
              <w:t>投标</w:t>
            </w:r>
            <w:r>
              <w:rPr>
                <w:rFonts w:hint="eastAsia" w:ascii="仿宋" w:hAnsi="仿宋" w:eastAsia="仿宋" w:cs="仿宋"/>
                <w:color w:val="auto"/>
                <w:spacing w:val="-6"/>
                <w:sz w:val="24"/>
                <w:szCs w:val="24"/>
                <w:highlight w:val="none"/>
              </w:rPr>
              <w:t>报价）×</w:t>
            </w:r>
            <w:r>
              <w:rPr>
                <w:rFonts w:hint="eastAsia" w:ascii="仿宋" w:hAnsi="仿宋" w:eastAsia="仿宋" w:cs="仿宋"/>
                <w:color w:val="auto"/>
                <w:spacing w:val="-6"/>
                <w:sz w:val="24"/>
                <w:szCs w:val="24"/>
                <w:highlight w:val="none"/>
                <w:lang w:val="en-US" w:eastAsia="zh-CN"/>
              </w:rPr>
              <w:t>40</w:t>
            </w:r>
            <w:r>
              <w:rPr>
                <w:rFonts w:hint="eastAsia" w:ascii="仿宋" w:hAnsi="仿宋" w:eastAsia="仿宋" w:cs="仿宋"/>
                <w:color w:val="auto"/>
                <w:spacing w:val="-6"/>
                <w:sz w:val="24"/>
                <w:szCs w:val="24"/>
                <w:highlight w:val="none"/>
              </w:rPr>
              <w:t>%×100</w:t>
            </w:r>
          </w:p>
          <w:p w14:paraId="1B04A27D">
            <w:pPr>
              <w:adjustRightInd w:val="0"/>
              <w:snapToGrid w:val="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▲1、招标（采购）代理费收费标准参照《招标代理服务收费管理暂行办法》（计价格</w:t>
            </w:r>
            <w:r>
              <w:rPr>
                <w:rFonts w:hint="eastAsia" w:ascii="仿宋" w:hAnsi="仿宋" w:eastAsia="仿宋" w:cs="仿宋"/>
                <w:color w:val="auto"/>
                <w:spacing w:val="-6"/>
                <w:sz w:val="24"/>
                <w:szCs w:val="24"/>
                <w:highlight w:val="none"/>
                <w:lang w:eastAsia="zh-CN"/>
              </w:rPr>
              <w:t>〔2002〕1980号</w:t>
            </w:r>
            <w:r>
              <w:rPr>
                <w:rFonts w:hint="eastAsia" w:ascii="仿宋" w:hAnsi="仿宋" w:eastAsia="仿宋" w:cs="仿宋"/>
                <w:color w:val="auto"/>
                <w:spacing w:val="-6"/>
                <w:sz w:val="24"/>
                <w:szCs w:val="24"/>
                <w:highlight w:val="none"/>
              </w:rPr>
              <w:t>）规定标准按投标折扣（折后价/原价）报价，上下浮动范围不超过</w:t>
            </w:r>
            <w:r>
              <w:rPr>
                <w:rFonts w:hint="eastAsia" w:ascii="仿宋" w:hAnsi="仿宋" w:eastAsia="仿宋" w:cs="仿宋"/>
                <w:color w:val="auto"/>
                <w:spacing w:val="-6"/>
                <w:sz w:val="24"/>
                <w:szCs w:val="24"/>
                <w:highlight w:val="none"/>
                <w:lang w:val="en-US" w:eastAsia="zh-CN"/>
              </w:rPr>
              <w:t>30</w:t>
            </w:r>
            <w:r>
              <w:rPr>
                <w:rFonts w:hint="eastAsia" w:ascii="仿宋" w:hAnsi="仿宋" w:eastAsia="仿宋" w:cs="仿宋"/>
                <w:color w:val="auto"/>
                <w:spacing w:val="-6"/>
                <w:sz w:val="24"/>
                <w:szCs w:val="24"/>
                <w:highlight w:val="none"/>
              </w:rPr>
              <w:t>%</w:t>
            </w:r>
          </w:p>
        </w:tc>
        <w:tc>
          <w:tcPr>
            <w:tcW w:w="1151" w:type="dxa"/>
            <w:vAlign w:val="center"/>
          </w:tcPr>
          <w:p w14:paraId="295F8E63">
            <w:pPr>
              <w:adjustRightInd w:val="0"/>
              <w:snapToGrid w:val="0"/>
              <w:jc w:val="center"/>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40</w:t>
            </w:r>
          </w:p>
        </w:tc>
      </w:tr>
      <w:tr w14:paraId="09C8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67" w:type="dxa"/>
            <w:vAlign w:val="center"/>
          </w:tcPr>
          <w:p w14:paraId="2B8822AD">
            <w:pPr>
              <w:widowControl/>
              <w:spacing w:line="420" w:lineRule="atLeast"/>
              <w:jc w:val="center"/>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2</w:t>
            </w:r>
          </w:p>
        </w:tc>
        <w:tc>
          <w:tcPr>
            <w:tcW w:w="2365" w:type="dxa"/>
            <w:vAlign w:val="center"/>
          </w:tcPr>
          <w:p w14:paraId="5014C367">
            <w:pPr>
              <w:pStyle w:val="5"/>
              <w:spacing w:line="288" w:lineRule="auto"/>
              <w:ind w:firstLine="0" w:firstLineChars="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招标（采购）代理费单个项目保底收费</w:t>
            </w:r>
          </w:p>
        </w:tc>
        <w:tc>
          <w:tcPr>
            <w:tcW w:w="4541" w:type="dxa"/>
            <w:vAlign w:val="center"/>
          </w:tcPr>
          <w:p w14:paraId="5E7D855D">
            <w:pPr>
              <w:pStyle w:val="5"/>
              <w:ind w:firstLine="0" w:firstLineChars="0"/>
              <w:jc w:val="both"/>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rPr>
              <w:t>3000元（含）以下保底</w:t>
            </w: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color w:val="auto"/>
                <w:spacing w:val="-6"/>
                <w:sz w:val="24"/>
                <w:szCs w:val="24"/>
                <w:highlight w:val="none"/>
              </w:rPr>
              <w:t>分，3000至4000元（含）保底</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rPr>
              <w:t>分</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4000至5000元（含）保底</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分，5000元以上不得分。</w:t>
            </w:r>
          </w:p>
        </w:tc>
        <w:tc>
          <w:tcPr>
            <w:tcW w:w="1151" w:type="dxa"/>
            <w:vAlign w:val="center"/>
          </w:tcPr>
          <w:p w14:paraId="19C82BA8">
            <w:pPr>
              <w:spacing w:line="288" w:lineRule="auto"/>
              <w:jc w:val="center"/>
              <w:rPr>
                <w:rFonts w:ascii="仿宋" w:hAnsi="仿宋" w:eastAsia="仿宋" w:cs="宋体"/>
                <w:color w:val="auto"/>
                <w:kern w:val="0"/>
                <w:sz w:val="24"/>
                <w:szCs w:val="24"/>
                <w:highlight w:val="none"/>
                <w:vertAlign w:val="baseline"/>
              </w:rPr>
            </w:pPr>
            <w:r>
              <w:rPr>
                <w:rFonts w:hint="eastAsia" w:ascii="仿宋" w:hAnsi="仿宋" w:eastAsia="仿宋" w:cs="仿宋"/>
                <w:color w:val="auto"/>
                <w:spacing w:val="-6"/>
                <w:sz w:val="24"/>
                <w:szCs w:val="24"/>
                <w:highlight w:val="none"/>
                <w:lang w:val="en-US" w:eastAsia="zh-CN"/>
              </w:rPr>
              <w:t>10</w:t>
            </w:r>
          </w:p>
        </w:tc>
      </w:tr>
    </w:tbl>
    <w:p w14:paraId="1BA782E9">
      <w:pPr>
        <w:widowControl/>
        <w:spacing w:line="420" w:lineRule="atLeast"/>
        <w:ind w:firstLine="480"/>
        <w:rPr>
          <w:rFonts w:ascii="仿宋" w:hAnsi="仿宋" w:eastAsia="仿宋" w:cs="宋体"/>
          <w:color w:val="auto"/>
          <w:kern w:val="0"/>
          <w:sz w:val="24"/>
          <w:szCs w:val="24"/>
          <w:highlight w:val="none"/>
        </w:rPr>
      </w:pPr>
    </w:p>
    <w:p w14:paraId="7F5FB71C">
      <w:pPr>
        <w:widowControl/>
        <w:spacing w:line="420" w:lineRule="atLeast"/>
        <w:rPr>
          <w:rFonts w:ascii="仿宋" w:hAnsi="仿宋" w:eastAsia="仿宋" w:cs="宋体"/>
          <w:color w:val="auto"/>
          <w:kern w:val="0"/>
          <w:sz w:val="24"/>
          <w:szCs w:val="24"/>
          <w:highlight w:val="none"/>
        </w:rPr>
      </w:pPr>
    </w:p>
    <w:p w14:paraId="7686157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F63ADB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投标相关文件格式</w:t>
      </w:r>
    </w:p>
    <w:p w14:paraId="60A47DCF">
      <w:pPr>
        <w:widowControl/>
        <w:spacing w:before="260" w:after="260" w:line="270" w:lineRule="atLeast"/>
        <w:jc w:val="left"/>
        <w:outlineLvl w:val="2"/>
        <w:rPr>
          <w:b/>
          <w:bCs/>
          <w:color w:val="auto"/>
          <w:kern w:val="0"/>
          <w:szCs w:val="21"/>
          <w:highlight w:val="none"/>
        </w:rPr>
      </w:pPr>
      <w:r>
        <w:rPr>
          <w:b/>
          <w:bCs/>
          <w:color w:val="auto"/>
          <w:kern w:val="0"/>
          <w:sz w:val="36"/>
          <w:szCs w:val="36"/>
          <w:highlight w:val="none"/>
        </w:rPr>
        <w:t xml:space="preserve">  封面格式</w:t>
      </w:r>
      <w:r>
        <w:rPr>
          <w:rFonts w:hint="eastAsia"/>
          <w:b/>
          <w:bCs/>
          <w:color w:val="auto"/>
          <w:kern w:val="0"/>
          <w:sz w:val="36"/>
          <w:szCs w:val="36"/>
          <w:highlight w:val="none"/>
        </w:rPr>
        <w:t xml:space="preserve">                          正/副本</w:t>
      </w:r>
    </w:p>
    <w:p w14:paraId="337EAE8A">
      <w:pPr>
        <w:widowControl/>
        <w:tabs>
          <w:tab w:val="left" w:pos="8280"/>
        </w:tabs>
        <w:spacing w:line="360" w:lineRule="auto"/>
        <w:ind w:firstLine="480"/>
        <w:jc w:val="center"/>
        <w:rPr>
          <w:b/>
          <w:color w:val="auto"/>
          <w:kern w:val="0"/>
          <w:sz w:val="32"/>
          <w:szCs w:val="32"/>
          <w:highlight w:val="none"/>
        </w:rPr>
      </w:pPr>
    </w:p>
    <w:p w14:paraId="46E1F602">
      <w:pPr>
        <w:widowControl/>
        <w:tabs>
          <w:tab w:val="left" w:pos="450"/>
          <w:tab w:val="left" w:pos="8280"/>
        </w:tabs>
        <w:spacing w:line="360" w:lineRule="auto"/>
        <w:ind w:firstLine="885" w:firstLineChars="245"/>
        <w:jc w:val="left"/>
        <w:rPr>
          <w:b/>
          <w:color w:val="auto"/>
          <w:kern w:val="0"/>
          <w:sz w:val="44"/>
          <w:szCs w:val="44"/>
          <w:highlight w:val="none"/>
        </w:rPr>
      </w:pPr>
      <w:r>
        <w:rPr>
          <w:b/>
          <w:color w:val="auto"/>
          <w:kern w:val="0"/>
          <w:sz w:val="36"/>
          <w:szCs w:val="36"/>
          <w:highlight w:val="none"/>
          <w:u w:val="single"/>
        </w:rPr>
        <w:t xml:space="preserve">                                    </w:t>
      </w:r>
      <w:r>
        <w:rPr>
          <w:b/>
          <w:color w:val="auto"/>
          <w:kern w:val="0"/>
          <w:sz w:val="44"/>
          <w:szCs w:val="44"/>
          <w:highlight w:val="none"/>
        </w:rPr>
        <w:t>项目</w:t>
      </w:r>
    </w:p>
    <w:p w14:paraId="46DDBCD0">
      <w:pPr>
        <w:widowControl/>
        <w:tabs>
          <w:tab w:val="left" w:pos="450"/>
          <w:tab w:val="left" w:pos="8280"/>
        </w:tabs>
        <w:spacing w:line="360" w:lineRule="auto"/>
        <w:ind w:firstLine="480"/>
        <w:jc w:val="center"/>
        <w:rPr>
          <w:b/>
          <w:color w:val="auto"/>
          <w:kern w:val="0"/>
          <w:sz w:val="44"/>
          <w:szCs w:val="44"/>
          <w:highlight w:val="none"/>
        </w:rPr>
      </w:pPr>
    </w:p>
    <w:p w14:paraId="4F227A15">
      <w:pPr>
        <w:widowControl/>
        <w:tabs>
          <w:tab w:val="left" w:pos="450"/>
          <w:tab w:val="left" w:pos="8280"/>
        </w:tabs>
        <w:spacing w:line="360" w:lineRule="auto"/>
        <w:ind w:firstLine="480"/>
        <w:jc w:val="center"/>
        <w:rPr>
          <w:b/>
          <w:color w:val="auto"/>
          <w:kern w:val="0"/>
          <w:sz w:val="44"/>
          <w:szCs w:val="44"/>
          <w:highlight w:val="none"/>
        </w:rPr>
      </w:pPr>
      <w:r>
        <w:rPr>
          <w:b/>
          <w:color w:val="auto"/>
          <w:kern w:val="0"/>
          <w:sz w:val="44"/>
          <w:szCs w:val="44"/>
          <w:highlight w:val="none"/>
        </w:rPr>
        <w:t>投标文件</w:t>
      </w:r>
    </w:p>
    <w:p w14:paraId="04429F42">
      <w:pPr>
        <w:widowControl/>
        <w:tabs>
          <w:tab w:val="left" w:pos="450"/>
          <w:tab w:val="left" w:pos="8280"/>
        </w:tabs>
        <w:spacing w:line="360" w:lineRule="auto"/>
        <w:ind w:firstLine="480"/>
        <w:jc w:val="center"/>
        <w:rPr>
          <w:b/>
          <w:color w:val="auto"/>
          <w:kern w:val="0"/>
          <w:sz w:val="44"/>
          <w:szCs w:val="44"/>
          <w:highlight w:val="none"/>
        </w:rPr>
      </w:pPr>
      <w:r>
        <w:rPr>
          <w:rFonts w:hint="eastAsia"/>
          <w:b/>
          <w:color w:val="auto"/>
          <w:kern w:val="0"/>
          <w:sz w:val="44"/>
          <w:szCs w:val="44"/>
          <w:highlight w:val="none"/>
        </w:rPr>
        <w:t>（技术文件/商务文件）</w:t>
      </w:r>
    </w:p>
    <w:p w14:paraId="1059613E">
      <w:pPr>
        <w:widowControl/>
        <w:tabs>
          <w:tab w:val="left" w:pos="275"/>
          <w:tab w:val="left" w:pos="8280"/>
        </w:tabs>
        <w:spacing w:line="360" w:lineRule="auto"/>
        <w:ind w:firstLine="480"/>
        <w:jc w:val="left"/>
        <w:rPr>
          <w:rFonts w:hint="default" w:eastAsia="宋体"/>
          <w:b/>
          <w:color w:val="auto"/>
          <w:kern w:val="0"/>
          <w:sz w:val="36"/>
          <w:szCs w:val="36"/>
          <w:highlight w:val="none"/>
          <w:lang w:val="en-US" w:eastAsia="zh-CN"/>
        </w:rPr>
      </w:pPr>
      <w:r>
        <w:rPr>
          <w:rFonts w:hint="eastAsia"/>
          <w:b/>
          <w:color w:val="auto"/>
          <w:kern w:val="0"/>
          <w:sz w:val="36"/>
          <w:szCs w:val="36"/>
          <w:highlight w:val="none"/>
          <w:lang w:val="en-US" w:eastAsia="zh-CN"/>
        </w:rPr>
        <w:t xml:space="preserve">                  </w:t>
      </w:r>
    </w:p>
    <w:p w14:paraId="44B59EF1">
      <w:pPr>
        <w:widowControl/>
        <w:tabs>
          <w:tab w:val="left" w:pos="275"/>
          <w:tab w:val="left" w:pos="8280"/>
        </w:tabs>
        <w:spacing w:line="360" w:lineRule="auto"/>
        <w:ind w:firstLine="480"/>
        <w:jc w:val="left"/>
        <w:rPr>
          <w:b/>
          <w:color w:val="auto"/>
          <w:kern w:val="0"/>
          <w:sz w:val="36"/>
          <w:szCs w:val="36"/>
          <w:highlight w:val="none"/>
        </w:rPr>
      </w:pPr>
      <w:r>
        <w:rPr>
          <w:b/>
          <w:color w:val="auto"/>
          <w:kern w:val="0"/>
          <w:sz w:val="36"/>
          <w:szCs w:val="36"/>
          <w:highlight w:val="none"/>
        </w:rPr>
        <w:tab/>
      </w:r>
    </w:p>
    <w:p w14:paraId="1CE70AAC">
      <w:pPr>
        <w:widowControl/>
        <w:tabs>
          <w:tab w:val="left" w:pos="275"/>
          <w:tab w:val="left" w:pos="8280"/>
        </w:tabs>
        <w:spacing w:line="360" w:lineRule="auto"/>
        <w:ind w:firstLine="480"/>
        <w:jc w:val="left"/>
        <w:rPr>
          <w:b/>
          <w:color w:val="auto"/>
          <w:kern w:val="0"/>
          <w:sz w:val="32"/>
          <w:szCs w:val="32"/>
          <w:highlight w:val="none"/>
        </w:rPr>
      </w:pPr>
    </w:p>
    <w:p w14:paraId="44CA41F6">
      <w:pPr>
        <w:widowControl/>
        <w:tabs>
          <w:tab w:val="left" w:pos="275"/>
          <w:tab w:val="left" w:pos="8280"/>
        </w:tabs>
        <w:spacing w:line="360" w:lineRule="auto"/>
        <w:ind w:firstLine="480"/>
        <w:jc w:val="left"/>
        <w:rPr>
          <w:b/>
          <w:color w:val="auto"/>
          <w:kern w:val="0"/>
          <w:sz w:val="32"/>
          <w:szCs w:val="32"/>
          <w:highlight w:val="none"/>
        </w:rPr>
      </w:pPr>
    </w:p>
    <w:p w14:paraId="6E196632">
      <w:pPr>
        <w:widowControl/>
        <w:tabs>
          <w:tab w:val="left" w:pos="275"/>
          <w:tab w:val="left" w:pos="8280"/>
        </w:tabs>
        <w:spacing w:line="360" w:lineRule="auto"/>
        <w:ind w:firstLine="480"/>
        <w:jc w:val="left"/>
        <w:rPr>
          <w:b/>
          <w:color w:val="auto"/>
          <w:kern w:val="0"/>
          <w:sz w:val="32"/>
          <w:szCs w:val="32"/>
          <w:highlight w:val="none"/>
        </w:rPr>
      </w:pPr>
    </w:p>
    <w:p w14:paraId="6AEC7FAD">
      <w:pPr>
        <w:widowControl/>
        <w:tabs>
          <w:tab w:val="left" w:pos="275"/>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采购项目编号：</w:t>
      </w:r>
      <w:r>
        <w:rPr>
          <w:b/>
          <w:color w:val="auto"/>
          <w:kern w:val="0"/>
          <w:sz w:val="36"/>
          <w:szCs w:val="36"/>
          <w:highlight w:val="none"/>
          <w:u w:val="single"/>
        </w:rPr>
        <w:t xml:space="preserve">                                 </w:t>
      </w:r>
    </w:p>
    <w:p w14:paraId="20D4E767">
      <w:pPr>
        <w:widowControl/>
        <w:tabs>
          <w:tab w:val="left" w:pos="765"/>
          <w:tab w:val="left" w:pos="8280"/>
        </w:tabs>
        <w:spacing w:line="360" w:lineRule="auto"/>
        <w:ind w:firstLine="480"/>
        <w:jc w:val="left"/>
        <w:rPr>
          <w:b/>
          <w:color w:val="auto"/>
          <w:kern w:val="0"/>
          <w:sz w:val="36"/>
          <w:szCs w:val="36"/>
          <w:highlight w:val="none"/>
        </w:rPr>
      </w:pPr>
      <w:r>
        <w:rPr>
          <w:b/>
          <w:color w:val="auto"/>
          <w:kern w:val="0"/>
          <w:sz w:val="36"/>
          <w:szCs w:val="36"/>
          <w:highlight w:val="none"/>
        </w:rPr>
        <w:tab/>
      </w:r>
    </w:p>
    <w:p w14:paraId="212598AE">
      <w:pPr>
        <w:widowControl/>
        <w:tabs>
          <w:tab w:val="left" w:pos="765"/>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投标人（公章）：</w:t>
      </w:r>
      <w:r>
        <w:rPr>
          <w:b/>
          <w:color w:val="auto"/>
          <w:kern w:val="0"/>
          <w:sz w:val="36"/>
          <w:szCs w:val="36"/>
          <w:highlight w:val="none"/>
          <w:u w:val="single"/>
        </w:rPr>
        <w:t xml:space="preserve">                                </w:t>
      </w:r>
    </w:p>
    <w:p w14:paraId="1BF19B91">
      <w:pPr>
        <w:widowControl/>
        <w:tabs>
          <w:tab w:val="left" w:pos="8280"/>
        </w:tabs>
        <w:spacing w:line="360" w:lineRule="auto"/>
        <w:ind w:firstLine="480"/>
        <w:jc w:val="center"/>
        <w:rPr>
          <w:b/>
          <w:color w:val="auto"/>
          <w:kern w:val="0"/>
          <w:sz w:val="32"/>
          <w:szCs w:val="32"/>
          <w:highlight w:val="none"/>
        </w:rPr>
      </w:pPr>
    </w:p>
    <w:p w14:paraId="4977378E">
      <w:pPr>
        <w:widowControl/>
        <w:tabs>
          <w:tab w:val="left" w:pos="350"/>
          <w:tab w:val="left" w:pos="8280"/>
        </w:tabs>
        <w:spacing w:line="360" w:lineRule="auto"/>
        <w:ind w:firstLine="315" w:firstLineChars="98"/>
        <w:jc w:val="left"/>
        <w:rPr>
          <w:b/>
          <w:color w:val="auto"/>
          <w:kern w:val="0"/>
          <w:sz w:val="32"/>
          <w:szCs w:val="32"/>
          <w:highlight w:val="none"/>
        </w:rPr>
      </w:pPr>
      <w:r>
        <w:rPr>
          <w:b/>
          <w:color w:val="auto"/>
          <w:kern w:val="0"/>
          <w:sz w:val="32"/>
          <w:szCs w:val="32"/>
          <w:highlight w:val="none"/>
        </w:rPr>
        <w:t>投标人法定代表人</w:t>
      </w:r>
    </w:p>
    <w:p w14:paraId="53F6A76A">
      <w:pPr>
        <w:widowControl/>
        <w:tabs>
          <w:tab w:val="left" w:pos="840"/>
          <w:tab w:val="left" w:pos="8280"/>
        </w:tabs>
        <w:spacing w:line="360" w:lineRule="auto"/>
        <w:ind w:firstLine="315" w:firstLineChars="98"/>
        <w:jc w:val="left"/>
        <w:rPr>
          <w:b/>
          <w:color w:val="auto"/>
          <w:kern w:val="0"/>
          <w:sz w:val="36"/>
          <w:szCs w:val="36"/>
          <w:highlight w:val="none"/>
        </w:rPr>
      </w:pPr>
      <w:r>
        <w:rPr>
          <w:b/>
          <w:color w:val="auto"/>
          <w:kern w:val="0"/>
          <w:sz w:val="32"/>
          <w:szCs w:val="32"/>
          <w:highlight w:val="none"/>
        </w:rPr>
        <w:t>或其委托人（签字）：</w:t>
      </w:r>
      <w:r>
        <w:rPr>
          <w:b/>
          <w:color w:val="auto"/>
          <w:kern w:val="0"/>
          <w:sz w:val="36"/>
          <w:szCs w:val="36"/>
          <w:highlight w:val="none"/>
          <w:u w:val="single"/>
        </w:rPr>
        <w:t xml:space="preserve">                            </w:t>
      </w:r>
    </w:p>
    <w:p w14:paraId="41D9D987">
      <w:pPr>
        <w:widowControl/>
        <w:tabs>
          <w:tab w:val="left" w:pos="8280"/>
        </w:tabs>
        <w:spacing w:line="360" w:lineRule="auto"/>
        <w:rPr>
          <w:b/>
          <w:color w:val="auto"/>
          <w:kern w:val="0"/>
          <w:sz w:val="32"/>
          <w:szCs w:val="32"/>
          <w:highlight w:val="none"/>
        </w:rPr>
      </w:pPr>
    </w:p>
    <w:p w14:paraId="3D5E3A78">
      <w:pPr>
        <w:widowControl/>
        <w:tabs>
          <w:tab w:val="left" w:pos="350"/>
          <w:tab w:val="left" w:pos="8280"/>
        </w:tabs>
        <w:spacing w:line="360" w:lineRule="auto"/>
        <w:ind w:firstLine="480"/>
        <w:jc w:val="left"/>
        <w:rPr>
          <w:b/>
          <w:color w:val="auto"/>
          <w:kern w:val="0"/>
          <w:sz w:val="32"/>
          <w:szCs w:val="32"/>
          <w:highlight w:val="none"/>
        </w:rPr>
      </w:pPr>
      <w:r>
        <w:rPr>
          <w:b/>
          <w:color w:val="auto"/>
          <w:kern w:val="0"/>
          <w:sz w:val="36"/>
          <w:szCs w:val="36"/>
          <w:highlight w:val="none"/>
        </w:rPr>
        <w:t xml:space="preserve">                   </w:t>
      </w:r>
      <w:r>
        <w:rPr>
          <w:b/>
          <w:color w:val="auto"/>
          <w:kern w:val="0"/>
          <w:sz w:val="32"/>
          <w:szCs w:val="32"/>
          <w:highlight w:val="none"/>
        </w:rPr>
        <w:t>年</w:t>
      </w:r>
      <w:r>
        <w:rPr>
          <w:b/>
          <w:color w:val="auto"/>
          <w:kern w:val="0"/>
          <w:sz w:val="36"/>
          <w:szCs w:val="36"/>
          <w:highlight w:val="none"/>
        </w:rPr>
        <w:t xml:space="preserve">     </w:t>
      </w:r>
      <w:r>
        <w:rPr>
          <w:b/>
          <w:color w:val="auto"/>
          <w:kern w:val="0"/>
          <w:sz w:val="32"/>
          <w:szCs w:val="32"/>
          <w:highlight w:val="none"/>
        </w:rPr>
        <w:t>月</w:t>
      </w:r>
      <w:r>
        <w:rPr>
          <w:b/>
          <w:color w:val="auto"/>
          <w:kern w:val="0"/>
          <w:sz w:val="36"/>
          <w:szCs w:val="36"/>
          <w:highlight w:val="none"/>
        </w:rPr>
        <w:t xml:space="preserve">     </w:t>
      </w:r>
      <w:r>
        <w:rPr>
          <w:b/>
          <w:color w:val="auto"/>
          <w:kern w:val="0"/>
          <w:sz w:val="32"/>
          <w:szCs w:val="32"/>
          <w:highlight w:val="none"/>
        </w:rPr>
        <w:t>日</w:t>
      </w:r>
    </w:p>
    <w:p w14:paraId="1E920725">
      <w:pPr>
        <w:rPr>
          <w:rFonts w:hint="eastAsia" w:ascii="仿宋" w:hAnsi="仿宋" w:eastAsia="仿宋" w:cs="宋体"/>
          <w:color w:val="auto"/>
          <w:kern w:val="0"/>
          <w:sz w:val="28"/>
          <w:szCs w:val="28"/>
          <w:highlight w:val="none"/>
        </w:rPr>
      </w:pPr>
    </w:p>
    <w:p w14:paraId="6621A263">
      <w:pPr>
        <w:rPr>
          <w:rFonts w:ascii="仿宋" w:hAnsi="仿宋" w:eastAsia="仿宋"/>
          <w:color w:val="auto"/>
          <w:highlight w:val="none"/>
        </w:rPr>
      </w:pPr>
      <w:r>
        <w:rPr>
          <w:rFonts w:hint="eastAsia" w:ascii="仿宋" w:hAnsi="仿宋" w:eastAsia="仿宋" w:cs="宋体"/>
          <w:color w:val="auto"/>
          <w:kern w:val="0"/>
          <w:sz w:val="28"/>
          <w:szCs w:val="28"/>
          <w:highlight w:val="none"/>
        </w:rPr>
        <w:t>附件一</w:t>
      </w:r>
      <w:r>
        <w:rPr>
          <w:rFonts w:hint="eastAsia" w:ascii="仿宋" w:hAnsi="仿宋" w:eastAsia="仿宋"/>
          <w:color w:val="auto"/>
          <w:highlight w:val="none"/>
        </w:rPr>
        <w:t xml:space="preserve">                      </w:t>
      </w:r>
    </w:p>
    <w:p w14:paraId="2000CE3D">
      <w:pPr>
        <w:jc w:val="center"/>
        <w:rPr>
          <w:rFonts w:ascii="仿宋" w:hAnsi="仿宋" w:eastAsia="仿宋" w:cs="宋体"/>
          <w:b/>
          <w:bCs/>
          <w:color w:val="auto"/>
          <w:kern w:val="0"/>
          <w:sz w:val="28"/>
          <w:szCs w:val="28"/>
          <w:highlight w:val="none"/>
          <w:lang w:val="zh-CN"/>
        </w:rPr>
      </w:pPr>
      <w:r>
        <w:rPr>
          <w:rFonts w:hint="eastAsia" w:ascii="仿宋" w:hAnsi="仿宋" w:eastAsia="仿宋" w:cs="宋体"/>
          <w:b/>
          <w:bCs/>
          <w:color w:val="auto"/>
          <w:kern w:val="0"/>
          <w:sz w:val="28"/>
          <w:szCs w:val="28"/>
          <w:highlight w:val="none"/>
        </w:rPr>
        <w:t>投标人基本情况表</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09"/>
        <w:gridCol w:w="1722"/>
        <w:gridCol w:w="1035"/>
        <w:gridCol w:w="802"/>
        <w:gridCol w:w="346"/>
        <w:gridCol w:w="2218"/>
      </w:tblGrid>
      <w:tr w14:paraId="207E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5E4DEA72">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1.一般情况</w:t>
            </w:r>
          </w:p>
        </w:tc>
      </w:tr>
      <w:tr w14:paraId="3825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vMerge w:val="restart"/>
            <w:tcBorders>
              <w:top w:val="single" w:color="auto" w:sz="4" w:space="0"/>
              <w:left w:val="single" w:color="auto" w:sz="4" w:space="0"/>
              <w:right w:val="single" w:color="auto" w:sz="4" w:space="0"/>
            </w:tcBorders>
            <w:vAlign w:val="center"/>
          </w:tcPr>
          <w:p w14:paraId="1A4318D1">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应标单位名称</w:t>
            </w:r>
          </w:p>
        </w:tc>
        <w:tc>
          <w:tcPr>
            <w:tcW w:w="3466" w:type="dxa"/>
            <w:gridSpan w:val="3"/>
            <w:vMerge w:val="restart"/>
            <w:tcBorders>
              <w:top w:val="single" w:color="auto" w:sz="4" w:space="0"/>
              <w:left w:val="single" w:color="auto" w:sz="4" w:space="0"/>
              <w:right w:val="single" w:color="auto" w:sz="4" w:space="0"/>
            </w:tcBorders>
            <w:vAlign w:val="center"/>
          </w:tcPr>
          <w:p w14:paraId="5D318E7E">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34AF217C">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单位性质</w:t>
            </w:r>
          </w:p>
        </w:tc>
        <w:tc>
          <w:tcPr>
            <w:tcW w:w="2218" w:type="dxa"/>
            <w:tcBorders>
              <w:top w:val="single" w:color="auto" w:sz="4" w:space="0"/>
              <w:left w:val="single" w:color="auto" w:sz="4" w:space="0"/>
              <w:bottom w:val="single" w:color="auto" w:sz="4" w:space="0"/>
              <w:right w:val="single" w:color="auto" w:sz="4" w:space="0"/>
            </w:tcBorders>
            <w:vAlign w:val="center"/>
          </w:tcPr>
          <w:p w14:paraId="2008F182">
            <w:pPr>
              <w:spacing w:line="400" w:lineRule="exact"/>
              <w:ind w:firstLine="480" w:firstLineChars="200"/>
              <w:rPr>
                <w:rFonts w:ascii="仿宋" w:hAnsi="仿宋" w:eastAsia="仿宋" w:cs="宋体"/>
                <w:color w:val="auto"/>
                <w:kern w:val="0"/>
                <w:sz w:val="24"/>
                <w:szCs w:val="24"/>
                <w:highlight w:val="none"/>
                <w:lang w:val="zh-CN"/>
              </w:rPr>
            </w:pPr>
          </w:p>
        </w:tc>
      </w:tr>
      <w:tr w14:paraId="60D0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8" w:type="dxa"/>
            <w:vMerge w:val="continue"/>
            <w:tcBorders>
              <w:left w:val="single" w:color="auto" w:sz="4" w:space="0"/>
              <w:bottom w:val="single" w:color="auto" w:sz="4" w:space="0"/>
              <w:right w:val="single" w:color="auto" w:sz="4" w:space="0"/>
            </w:tcBorders>
            <w:vAlign w:val="center"/>
          </w:tcPr>
          <w:p w14:paraId="24E6A65A">
            <w:pPr>
              <w:spacing w:line="400" w:lineRule="exact"/>
              <w:ind w:firstLine="480" w:firstLineChars="200"/>
              <w:rPr>
                <w:rFonts w:ascii="仿宋" w:hAnsi="仿宋" w:eastAsia="仿宋" w:cs="宋体"/>
                <w:color w:val="auto"/>
                <w:kern w:val="0"/>
                <w:sz w:val="24"/>
                <w:szCs w:val="24"/>
                <w:highlight w:val="none"/>
                <w:lang w:val="zh-CN"/>
              </w:rPr>
            </w:pPr>
          </w:p>
        </w:tc>
        <w:tc>
          <w:tcPr>
            <w:tcW w:w="3466" w:type="dxa"/>
            <w:gridSpan w:val="3"/>
            <w:vMerge w:val="continue"/>
            <w:tcBorders>
              <w:left w:val="single" w:color="auto" w:sz="4" w:space="0"/>
              <w:bottom w:val="single" w:color="auto" w:sz="4" w:space="0"/>
              <w:right w:val="single" w:color="auto" w:sz="4" w:space="0"/>
            </w:tcBorders>
            <w:vAlign w:val="center"/>
          </w:tcPr>
          <w:p w14:paraId="6481DBAB">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2F98694E">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资本结构情况</w:t>
            </w:r>
          </w:p>
        </w:tc>
        <w:tc>
          <w:tcPr>
            <w:tcW w:w="2218" w:type="dxa"/>
            <w:tcBorders>
              <w:top w:val="single" w:color="auto" w:sz="4" w:space="0"/>
              <w:left w:val="single" w:color="auto" w:sz="4" w:space="0"/>
              <w:bottom w:val="single" w:color="auto" w:sz="4" w:space="0"/>
              <w:right w:val="single" w:color="auto" w:sz="4" w:space="0"/>
            </w:tcBorders>
            <w:vAlign w:val="center"/>
          </w:tcPr>
          <w:p w14:paraId="355F524D">
            <w:pPr>
              <w:spacing w:line="400" w:lineRule="exact"/>
              <w:ind w:firstLine="480" w:firstLineChars="200"/>
              <w:rPr>
                <w:rFonts w:ascii="仿宋" w:hAnsi="仿宋" w:eastAsia="仿宋" w:cs="宋体"/>
                <w:color w:val="auto"/>
                <w:kern w:val="0"/>
                <w:sz w:val="24"/>
                <w:szCs w:val="24"/>
                <w:highlight w:val="none"/>
                <w:lang w:val="zh-CN"/>
              </w:rPr>
            </w:pPr>
          </w:p>
        </w:tc>
      </w:tr>
      <w:tr w14:paraId="7ED0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C24E3D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公司注册名称</w:t>
            </w:r>
          </w:p>
        </w:tc>
        <w:tc>
          <w:tcPr>
            <w:tcW w:w="6832" w:type="dxa"/>
            <w:gridSpan w:val="6"/>
            <w:tcBorders>
              <w:top w:val="single" w:color="auto" w:sz="4" w:space="0"/>
              <w:left w:val="single" w:color="auto" w:sz="4" w:space="0"/>
              <w:bottom w:val="single" w:color="auto" w:sz="4" w:space="0"/>
              <w:right w:val="single" w:color="auto" w:sz="4" w:space="0"/>
            </w:tcBorders>
            <w:vAlign w:val="center"/>
          </w:tcPr>
          <w:p w14:paraId="6E5147E7">
            <w:pPr>
              <w:spacing w:line="400" w:lineRule="exact"/>
              <w:ind w:firstLine="480" w:firstLineChars="200"/>
              <w:rPr>
                <w:rFonts w:ascii="仿宋" w:hAnsi="仿宋" w:eastAsia="仿宋" w:cs="宋体"/>
                <w:color w:val="auto"/>
                <w:kern w:val="0"/>
                <w:sz w:val="24"/>
                <w:szCs w:val="24"/>
                <w:highlight w:val="none"/>
                <w:lang w:val="zh-CN"/>
              </w:rPr>
            </w:pPr>
          </w:p>
        </w:tc>
      </w:tr>
      <w:tr w14:paraId="18E2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1B754836">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营业范围</w:t>
            </w:r>
          </w:p>
        </w:tc>
        <w:tc>
          <w:tcPr>
            <w:tcW w:w="6832" w:type="dxa"/>
            <w:gridSpan w:val="6"/>
            <w:tcBorders>
              <w:top w:val="single" w:color="auto" w:sz="4" w:space="0"/>
              <w:left w:val="single" w:color="auto" w:sz="4" w:space="0"/>
              <w:bottom w:val="single" w:color="auto" w:sz="4" w:space="0"/>
              <w:right w:val="single" w:color="auto" w:sz="4" w:space="0"/>
            </w:tcBorders>
            <w:vAlign w:val="center"/>
          </w:tcPr>
          <w:p w14:paraId="70613645">
            <w:pPr>
              <w:spacing w:line="400" w:lineRule="exact"/>
              <w:ind w:firstLine="480" w:firstLineChars="200"/>
              <w:rPr>
                <w:rFonts w:ascii="仿宋" w:hAnsi="仿宋" w:eastAsia="仿宋" w:cs="宋体"/>
                <w:color w:val="auto"/>
                <w:kern w:val="0"/>
                <w:sz w:val="24"/>
                <w:szCs w:val="24"/>
                <w:highlight w:val="none"/>
                <w:lang w:val="zh-CN"/>
              </w:rPr>
            </w:pPr>
          </w:p>
        </w:tc>
      </w:tr>
      <w:tr w14:paraId="3A8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E3753B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地    址</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6B8C5ED4">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7EC7552A">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邮   编</w:t>
            </w:r>
          </w:p>
        </w:tc>
        <w:tc>
          <w:tcPr>
            <w:tcW w:w="2218" w:type="dxa"/>
            <w:tcBorders>
              <w:top w:val="single" w:color="auto" w:sz="4" w:space="0"/>
              <w:left w:val="single" w:color="auto" w:sz="4" w:space="0"/>
              <w:bottom w:val="single" w:color="auto" w:sz="4" w:space="0"/>
              <w:right w:val="single" w:color="auto" w:sz="4" w:space="0"/>
            </w:tcBorders>
            <w:vAlign w:val="center"/>
          </w:tcPr>
          <w:p w14:paraId="5ED96DA7">
            <w:pPr>
              <w:spacing w:line="400" w:lineRule="exact"/>
              <w:ind w:firstLine="480" w:firstLineChars="200"/>
              <w:rPr>
                <w:rFonts w:ascii="仿宋" w:hAnsi="仿宋" w:eastAsia="仿宋" w:cs="宋体"/>
                <w:color w:val="auto"/>
                <w:kern w:val="0"/>
                <w:sz w:val="24"/>
                <w:szCs w:val="24"/>
                <w:highlight w:val="none"/>
                <w:lang w:val="zh-CN"/>
              </w:rPr>
            </w:pPr>
          </w:p>
        </w:tc>
      </w:tr>
      <w:tr w14:paraId="0B21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48CBD06">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电    话</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1EFE8D0F">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19E7F153">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传   真</w:t>
            </w:r>
          </w:p>
        </w:tc>
        <w:tc>
          <w:tcPr>
            <w:tcW w:w="2218" w:type="dxa"/>
            <w:tcBorders>
              <w:top w:val="single" w:color="auto" w:sz="4" w:space="0"/>
              <w:left w:val="single" w:color="auto" w:sz="4" w:space="0"/>
              <w:bottom w:val="single" w:color="auto" w:sz="4" w:space="0"/>
              <w:right w:val="single" w:color="auto" w:sz="4" w:space="0"/>
            </w:tcBorders>
            <w:vAlign w:val="center"/>
          </w:tcPr>
          <w:p w14:paraId="1DDFD585">
            <w:pPr>
              <w:spacing w:line="400" w:lineRule="exact"/>
              <w:ind w:firstLine="480" w:firstLineChars="200"/>
              <w:rPr>
                <w:rFonts w:ascii="仿宋" w:hAnsi="仿宋" w:eastAsia="仿宋" w:cs="宋体"/>
                <w:color w:val="auto"/>
                <w:kern w:val="0"/>
                <w:sz w:val="24"/>
                <w:szCs w:val="24"/>
                <w:highlight w:val="none"/>
                <w:lang w:val="zh-CN"/>
              </w:rPr>
            </w:pPr>
          </w:p>
        </w:tc>
      </w:tr>
      <w:tr w14:paraId="5AC2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6162094">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单位法人代表</w:t>
            </w:r>
          </w:p>
        </w:tc>
        <w:tc>
          <w:tcPr>
            <w:tcW w:w="3466" w:type="dxa"/>
            <w:gridSpan w:val="3"/>
            <w:tcBorders>
              <w:top w:val="single" w:color="auto" w:sz="4" w:space="0"/>
              <w:left w:val="single" w:color="auto" w:sz="4" w:space="0"/>
              <w:bottom w:val="single" w:color="auto" w:sz="4" w:space="0"/>
              <w:right w:val="single" w:color="auto" w:sz="4" w:space="0"/>
            </w:tcBorders>
            <w:vAlign w:val="center"/>
          </w:tcPr>
          <w:p w14:paraId="6944A29C">
            <w:pPr>
              <w:spacing w:line="400" w:lineRule="exact"/>
              <w:ind w:firstLine="480" w:firstLineChars="200"/>
              <w:rPr>
                <w:rFonts w:ascii="仿宋" w:hAnsi="仿宋" w:eastAsia="仿宋" w:cs="宋体"/>
                <w:color w:val="auto"/>
                <w:kern w:val="0"/>
                <w:sz w:val="24"/>
                <w:szCs w:val="24"/>
                <w:highlight w:val="none"/>
                <w:lang w:val="zh-CN"/>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14:paraId="77443378">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企业资质等级</w:t>
            </w:r>
          </w:p>
        </w:tc>
        <w:tc>
          <w:tcPr>
            <w:tcW w:w="2218" w:type="dxa"/>
            <w:tcBorders>
              <w:top w:val="single" w:color="auto" w:sz="4" w:space="0"/>
              <w:left w:val="single" w:color="auto" w:sz="4" w:space="0"/>
              <w:bottom w:val="single" w:color="auto" w:sz="4" w:space="0"/>
              <w:right w:val="single" w:color="auto" w:sz="4" w:space="0"/>
            </w:tcBorders>
            <w:vAlign w:val="center"/>
          </w:tcPr>
          <w:p w14:paraId="00E788EF">
            <w:pPr>
              <w:spacing w:line="400" w:lineRule="exact"/>
              <w:ind w:firstLine="480" w:firstLineChars="200"/>
              <w:rPr>
                <w:rFonts w:ascii="仿宋" w:hAnsi="仿宋" w:eastAsia="仿宋" w:cs="宋体"/>
                <w:color w:val="auto"/>
                <w:kern w:val="0"/>
                <w:sz w:val="24"/>
                <w:szCs w:val="24"/>
                <w:highlight w:val="none"/>
                <w:lang w:val="zh-CN"/>
              </w:rPr>
            </w:pPr>
          </w:p>
        </w:tc>
      </w:tr>
      <w:tr w14:paraId="731C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38D58FA4">
            <w:pPr>
              <w:spacing w:line="400" w:lineRule="exact"/>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2.联系人</w:t>
            </w:r>
          </w:p>
        </w:tc>
      </w:tr>
      <w:tr w14:paraId="1EE2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14:paraId="4E89AB66">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姓名</w:t>
            </w:r>
          </w:p>
        </w:tc>
        <w:tc>
          <w:tcPr>
            <w:tcW w:w="1722" w:type="dxa"/>
            <w:tcBorders>
              <w:top w:val="single" w:color="auto" w:sz="4" w:space="0"/>
              <w:left w:val="single" w:color="auto" w:sz="4" w:space="0"/>
              <w:bottom w:val="single" w:color="auto" w:sz="4" w:space="0"/>
              <w:right w:val="single" w:color="auto" w:sz="4" w:space="0"/>
            </w:tcBorders>
            <w:vAlign w:val="center"/>
          </w:tcPr>
          <w:p w14:paraId="38CFE926">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职务</w:t>
            </w:r>
          </w:p>
        </w:tc>
        <w:tc>
          <w:tcPr>
            <w:tcW w:w="1837" w:type="dxa"/>
            <w:gridSpan w:val="2"/>
            <w:tcBorders>
              <w:top w:val="single" w:color="auto" w:sz="4" w:space="0"/>
              <w:left w:val="single" w:color="auto" w:sz="4" w:space="0"/>
              <w:bottom w:val="single" w:color="auto" w:sz="4" w:space="0"/>
              <w:right w:val="single" w:color="auto" w:sz="4" w:space="0"/>
            </w:tcBorders>
            <w:vAlign w:val="center"/>
          </w:tcPr>
          <w:p w14:paraId="0E0BDC51">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职称</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11D94929">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电话</w:t>
            </w:r>
          </w:p>
        </w:tc>
      </w:tr>
      <w:tr w14:paraId="1D20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14:paraId="7229DEA7">
            <w:pPr>
              <w:spacing w:line="400" w:lineRule="exact"/>
              <w:ind w:firstLine="480" w:firstLineChars="200"/>
              <w:rPr>
                <w:rFonts w:ascii="仿宋" w:hAnsi="仿宋" w:eastAsia="仿宋" w:cs="宋体"/>
                <w:color w:val="auto"/>
                <w:kern w:val="0"/>
                <w:sz w:val="24"/>
                <w:szCs w:val="24"/>
                <w:highlight w:val="none"/>
                <w:lang w:val="zh-CN"/>
              </w:rPr>
            </w:pPr>
          </w:p>
        </w:tc>
        <w:tc>
          <w:tcPr>
            <w:tcW w:w="1722" w:type="dxa"/>
            <w:tcBorders>
              <w:top w:val="single" w:color="auto" w:sz="4" w:space="0"/>
              <w:left w:val="single" w:color="auto" w:sz="4" w:space="0"/>
              <w:bottom w:val="single" w:color="auto" w:sz="4" w:space="0"/>
              <w:right w:val="single" w:color="auto" w:sz="4" w:space="0"/>
            </w:tcBorders>
            <w:vAlign w:val="center"/>
          </w:tcPr>
          <w:p w14:paraId="1C262622">
            <w:pPr>
              <w:spacing w:line="400" w:lineRule="exact"/>
              <w:ind w:firstLine="480" w:firstLineChars="200"/>
              <w:rPr>
                <w:rFonts w:ascii="仿宋" w:hAnsi="仿宋" w:eastAsia="仿宋" w:cs="宋体"/>
                <w:color w:val="auto"/>
                <w:kern w:val="0"/>
                <w:sz w:val="24"/>
                <w:szCs w:val="24"/>
                <w:highlight w:val="none"/>
                <w:lang w:val="zh-CN"/>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14:paraId="0B45548B">
            <w:pPr>
              <w:spacing w:line="400" w:lineRule="exact"/>
              <w:ind w:firstLine="480" w:firstLineChars="200"/>
              <w:rPr>
                <w:rFonts w:ascii="仿宋" w:hAnsi="仿宋" w:eastAsia="仿宋" w:cs="宋体"/>
                <w:color w:val="auto"/>
                <w:kern w:val="0"/>
                <w:sz w:val="24"/>
                <w:szCs w:val="24"/>
                <w:highlight w:val="none"/>
                <w:lang w:val="zh-CN"/>
              </w:rPr>
            </w:pP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7A6B1E0E">
            <w:pPr>
              <w:spacing w:line="400" w:lineRule="exact"/>
              <w:ind w:firstLine="480" w:firstLineChars="200"/>
              <w:rPr>
                <w:rFonts w:ascii="仿宋" w:hAnsi="仿宋" w:eastAsia="仿宋" w:cs="宋体"/>
                <w:color w:val="auto"/>
                <w:kern w:val="0"/>
                <w:sz w:val="24"/>
                <w:szCs w:val="24"/>
                <w:highlight w:val="none"/>
                <w:lang w:val="zh-CN"/>
              </w:rPr>
            </w:pPr>
          </w:p>
        </w:tc>
      </w:tr>
      <w:tr w14:paraId="7070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4855D91D">
            <w:pPr>
              <w:spacing w:line="400" w:lineRule="exact"/>
              <w:ind w:firstLine="480" w:firstLineChars="200"/>
              <w:rPr>
                <w:rFonts w:ascii="仿宋" w:hAnsi="仿宋" w:eastAsia="仿宋" w:cs="宋体"/>
                <w:color w:val="auto"/>
                <w:kern w:val="0"/>
                <w:sz w:val="24"/>
                <w:szCs w:val="24"/>
                <w:highlight w:val="none"/>
                <w:lang w:val="zh-CN"/>
              </w:rPr>
            </w:pPr>
          </w:p>
          <w:p w14:paraId="34C38FBB">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我保证本文件的真实性，并授权          代表本公司负责阐述有关技术等方面的情况。</w:t>
            </w:r>
          </w:p>
          <w:p w14:paraId="3DB12FA6">
            <w:pPr>
              <w:spacing w:line="400" w:lineRule="exact"/>
              <w:ind w:firstLine="480" w:firstLineChars="200"/>
              <w:rPr>
                <w:rFonts w:ascii="仿宋" w:hAnsi="仿宋" w:eastAsia="仿宋" w:cs="宋体"/>
                <w:color w:val="auto"/>
                <w:kern w:val="0"/>
                <w:sz w:val="24"/>
                <w:szCs w:val="24"/>
                <w:highlight w:val="none"/>
                <w:lang w:val="zh-CN"/>
              </w:rPr>
            </w:pPr>
          </w:p>
          <w:p w14:paraId="552FCB71">
            <w:pPr>
              <w:spacing w:line="400" w:lineRule="exact"/>
              <w:ind w:firstLine="480" w:firstLineChars="200"/>
              <w:rPr>
                <w:rFonts w:ascii="仿宋" w:hAnsi="仿宋" w:eastAsia="仿宋" w:cs="宋体"/>
                <w:color w:val="auto"/>
                <w:kern w:val="0"/>
                <w:sz w:val="24"/>
                <w:szCs w:val="24"/>
                <w:highlight w:val="none"/>
                <w:lang w:val="zh-CN"/>
              </w:rPr>
            </w:pPr>
          </w:p>
          <w:p w14:paraId="7B40DF1B">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授权人签字：                      被授权人签字：</w:t>
            </w:r>
          </w:p>
          <w:p w14:paraId="1DC54697">
            <w:pPr>
              <w:spacing w:line="400" w:lineRule="exact"/>
              <w:ind w:firstLine="480" w:firstLineChars="200"/>
              <w:rPr>
                <w:rFonts w:ascii="仿宋" w:hAnsi="仿宋" w:eastAsia="仿宋" w:cs="宋体"/>
                <w:color w:val="auto"/>
                <w:kern w:val="0"/>
                <w:sz w:val="24"/>
                <w:szCs w:val="24"/>
                <w:highlight w:val="none"/>
                <w:lang w:val="zh-CN"/>
              </w:rPr>
            </w:pPr>
          </w:p>
          <w:p w14:paraId="201475DF">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日期：   年   月   日           日期：   年   月   日</w:t>
            </w:r>
          </w:p>
        </w:tc>
      </w:tr>
    </w:tbl>
    <w:p w14:paraId="7E1B68F3">
      <w:pPr>
        <w:spacing w:line="400" w:lineRule="exact"/>
        <w:ind w:firstLine="480" w:firstLineChars="200"/>
        <w:rPr>
          <w:rFonts w:ascii="仿宋" w:hAnsi="仿宋" w:eastAsia="仿宋" w:cs="宋体"/>
          <w:color w:val="auto"/>
          <w:kern w:val="0"/>
          <w:sz w:val="24"/>
          <w:szCs w:val="24"/>
          <w:highlight w:val="none"/>
          <w:lang w:val="zh-CN"/>
        </w:rPr>
      </w:pPr>
    </w:p>
    <w:p w14:paraId="256665B4">
      <w:pPr>
        <w:rPr>
          <w:rFonts w:ascii="仿宋" w:hAnsi="仿宋" w:eastAsia="仿宋" w:cs="宋体"/>
          <w:color w:val="auto"/>
          <w:kern w:val="0"/>
          <w:sz w:val="28"/>
          <w:szCs w:val="28"/>
          <w:highlight w:val="none"/>
        </w:rPr>
      </w:pPr>
    </w:p>
    <w:p w14:paraId="690640E2">
      <w:pPr>
        <w:widowControl/>
        <w:spacing w:line="420" w:lineRule="atLeast"/>
        <w:rPr>
          <w:rFonts w:ascii="仿宋" w:hAnsi="仿宋" w:eastAsia="仿宋" w:cs="宋体"/>
          <w:color w:val="auto"/>
          <w:kern w:val="0"/>
          <w:sz w:val="28"/>
          <w:szCs w:val="28"/>
          <w:highlight w:val="none"/>
        </w:rPr>
      </w:pPr>
    </w:p>
    <w:p w14:paraId="083E6ED4">
      <w:pPr>
        <w:rPr>
          <w:rFonts w:hint="eastAsia" w:ascii="仿宋" w:hAnsi="仿宋" w:eastAsia="仿宋" w:cs="宋体"/>
          <w:b/>
          <w:bCs/>
          <w:color w:val="auto"/>
          <w:kern w:val="0"/>
          <w:sz w:val="28"/>
          <w:szCs w:val="28"/>
          <w:highlight w:val="none"/>
        </w:rPr>
      </w:pPr>
      <w:r>
        <w:rPr>
          <w:rFonts w:hint="eastAsia" w:ascii="仿宋" w:hAnsi="仿宋" w:eastAsia="仿宋" w:cs="宋体"/>
          <w:color w:val="auto"/>
          <w:kern w:val="0"/>
          <w:sz w:val="28"/>
          <w:szCs w:val="28"/>
          <w:highlight w:val="none"/>
        </w:rPr>
        <w:t>附件二</w:t>
      </w:r>
      <w:r>
        <w:rPr>
          <w:rFonts w:hint="eastAsia" w:ascii="仿宋" w:hAnsi="仿宋" w:eastAsia="仿宋" w:cs="宋体"/>
          <w:b/>
          <w:bCs/>
          <w:color w:val="auto"/>
          <w:kern w:val="0"/>
          <w:sz w:val="28"/>
          <w:szCs w:val="28"/>
          <w:highlight w:val="none"/>
        </w:rPr>
        <w:t xml:space="preserve">       </w:t>
      </w:r>
    </w:p>
    <w:p w14:paraId="4EDD99E5">
      <w:pPr>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投标人法定代表人授权书（格式）</w:t>
      </w:r>
    </w:p>
    <w:p w14:paraId="23C6B7BE">
      <w:pPr>
        <w:spacing w:line="480" w:lineRule="auto"/>
        <w:rPr>
          <w:rFonts w:ascii="仿宋" w:hAnsi="仿宋" w:eastAsia="仿宋"/>
          <w:b/>
          <w:color w:val="auto"/>
          <w:sz w:val="48"/>
          <w:highlight w:val="none"/>
        </w:rPr>
      </w:pPr>
    </w:p>
    <w:p w14:paraId="037E07DF">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项目名称：               </w:t>
      </w:r>
    </w:p>
    <w:p w14:paraId="7D5030B8">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日    期：               </w:t>
      </w:r>
    </w:p>
    <w:p w14:paraId="0D3CE852">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致：（采购人名称）                </w:t>
      </w:r>
    </w:p>
    <w:p w14:paraId="7FAA7C3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    （招标代理机构名称）             </w:t>
      </w:r>
    </w:p>
    <w:p w14:paraId="08CC6A75">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注册于                                 （注册地址）的                                         </w:t>
      </w:r>
    </w:p>
    <w:p w14:paraId="780B447B">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14:paraId="38E99F78">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我公司对被授权人的签名负全部责任。</w:t>
      </w:r>
    </w:p>
    <w:p w14:paraId="413FA9FE">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14:paraId="4777F3E6">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被授权人身份证复印件：</w:t>
      </w:r>
    </w:p>
    <w:p w14:paraId="5C532979">
      <w:pPr>
        <w:spacing w:line="400" w:lineRule="exact"/>
        <w:ind w:firstLine="480" w:firstLineChars="200"/>
        <w:rPr>
          <w:rFonts w:ascii="仿宋" w:hAnsi="仿宋" w:eastAsia="仿宋" w:cs="宋体"/>
          <w:color w:val="auto"/>
          <w:kern w:val="0"/>
          <w:sz w:val="24"/>
          <w:szCs w:val="24"/>
          <w:highlight w:val="none"/>
          <w:lang w:val="zh-CN"/>
        </w:rPr>
      </w:pPr>
    </w:p>
    <w:p w14:paraId="6AB116B5">
      <w:pPr>
        <w:spacing w:line="400" w:lineRule="exact"/>
        <w:ind w:firstLine="480" w:firstLineChars="200"/>
        <w:rPr>
          <w:rFonts w:ascii="仿宋" w:hAnsi="仿宋" w:eastAsia="仿宋" w:cs="宋体"/>
          <w:color w:val="auto"/>
          <w:kern w:val="0"/>
          <w:sz w:val="24"/>
          <w:szCs w:val="24"/>
          <w:highlight w:val="none"/>
          <w:lang w:val="zh-CN"/>
        </w:rPr>
      </w:pPr>
    </w:p>
    <w:p w14:paraId="0C58F184">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投标人公章：</w:t>
      </w:r>
    </w:p>
    <w:p w14:paraId="12B767AA">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授权人签名：                       职        务：                </w:t>
      </w:r>
    </w:p>
    <w:p w14:paraId="07ED37A8">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 xml:space="preserve">被授权人签名：                     </w:t>
      </w:r>
    </w:p>
    <w:p w14:paraId="2638F14E">
      <w:pPr>
        <w:spacing w:line="400" w:lineRule="exact"/>
        <w:ind w:firstLine="480" w:firstLineChars="200"/>
        <w:rPr>
          <w:rFonts w:ascii="仿宋" w:hAnsi="仿宋" w:eastAsia="仿宋" w:cs="宋体"/>
          <w:color w:val="auto"/>
          <w:kern w:val="0"/>
          <w:sz w:val="24"/>
          <w:szCs w:val="24"/>
          <w:highlight w:val="none"/>
          <w:lang w:val="zh-CN"/>
        </w:rPr>
      </w:pPr>
    </w:p>
    <w:p w14:paraId="28674DA3">
      <w:pPr>
        <w:spacing w:line="400" w:lineRule="exact"/>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rPr>
        <w:t>注：投标人法定代表人参加投标的，提供法定代表人证明书和身份证明即可。</w:t>
      </w:r>
    </w:p>
    <w:p w14:paraId="43F9D159">
      <w:pPr>
        <w:spacing w:line="400" w:lineRule="exact"/>
        <w:rPr>
          <w:rFonts w:ascii="仿宋" w:hAnsi="仿宋" w:eastAsia="仿宋" w:cs="宋体"/>
          <w:color w:val="auto"/>
          <w:kern w:val="0"/>
          <w:sz w:val="24"/>
          <w:szCs w:val="24"/>
          <w:highlight w:val="none"/>
        </w:rPr>
      </w:pPr>
    </w:p>
    <w:p w14:paraId="722408DA">
      <w:pPr>
        <w:widowControl/>
        <w:jc w:val="left"/>
        <w:rPr>
          <w:color w:val="auto"/>
          <w:highlight w:val="none"/>
        </w:rPr>
      </w:pPr>
    </w:p>
    <w:p w14:paraId="34024D3E">
      <w:pPr>
        <w:widowControl/>
        <w:jc w:val="left"/>
        <w:rPr>
          <w:color w:val="auto"/>
          <w:highlight w:val="none"/>
        </w:rPr>
      </w:pPr>
    </w:p>
    <w:p w14:paraId="1E9BE3B6">
      <w:pPr>
        <w:widowControl/>
        <w:jc w:val="left"/>
        <w:rPr>
          <w:color w:val="auto"/>
          <w:highlight w:val="none"/>
        </w:rPr>
      </w:pPr>
    </w:p>
    <w:p w14:paraId="7D2B7E2C">
      <w:pPr>
        <w:widowControl/>
        <w:jc w:val="left"/>
        <w:rPr>
          <w:color w:val="auto"/>
          <w:highlight w:val="none"/>
        </w:rPr>
      </w:pPr>
    </w:p>
    <w:p w14:paraId="2E856C7A">
      <w:pPr>
        <w:widowControl/>
        <w:jc w:val="left"/>
        <w:rPr>
          <w:color w:val="auto"/>
          <w:highlight w:val="none"/>
        </w:rPr>
      </w:pPr>
    </w:p>
    <w:p w14:paraId="522D11EC">
      <w:pPr>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br w:type="page"/>
      </w:r>
    </w:p>
    <w:p w14:paraId="5EBAF020">
      <w:pPr>
        <w:pStyle w:val="13"/>
        <w:keepNext w:val="0"/>
        <w:keepLines w:val="0"/>
        <w:pageBreakBefore w:val="0"/>
        <w:widowControl w:val="0"/>
        <w:kinsoku/>
        <w:wordWrap/>
        <w:overflowPunct/>
        <w:topLinePunct w:val="0"/>
        <w:autoSpaceDE/>
        <w:autoSpaceDN/>
        <w:bidi w:val="0"/>
        <w:adjustRightInd/>
        <w:snapToGrid/>
        <w:spacing w:after="0" w:line="240" w:lineRule="auto"/>
        <w:rPr>
          <w:rFonts w:hint="eastAsia" w:ascii="仿宋" w:hAnsi="仿宋" w:eastAsia="仿宋" w:cs="宋体"/>
          <w:b/>
          <w:color w:val="auto"/>
          <w:sz w:val="24"/>
          <w:szCs w:val="24"/>
          <w:highlight w:val="none"/>
        </w:rPr>
      </w:pPr>
      <w:r>
        <w:rPr>
          <w:rFonts w:hint="eastAsia" w:ascii="仿宋" w:hAnsi="仿宋" w:eastAsia="仿宋" w:cs="宋体"/>
          <w:color w:val="auto"/>
          <w:kern w:val="0"/>
          <w:sz w:val="28"/>
          <w:szCs w:val="28"/>
          <w:highlight w:val="none"/>
          <w:lang w:val="en-US" w:eastAsia="zh-CN" w:bidi="ar-SA"/>
        </w:rPr>
        <w:t>附件三</w:t>
      </w:r>
    </w:p>
    <w:p w14:paraId="6ED62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sz w:val="24"/>
          <w:szCs w:val="24"/>
          <w:highlight w:val="none"/>
        </w:rPr>
      </w:pPr>
      <w:r>
        <w:rPr>
          <w:rFonts w:hint="eastAsia" w:ascii="仿宋" w:hAnsi="仿宋" w:eastAsia="仿宋" w:cs="宋体"/>
          <w:b/>
          <w:bCs/>
          <w:color w:val="auto"/>
          <w:kern w:val="0"/>
          <w:sz w:val="28"/>
          <w:szCs w:val="28"/>
          <w:highlight w:val="none"/>
        </w:rPr>
        <w:t>投 标 函</w:t>
      </w:r>
    </w:p>
    <w:p w14:paraId="1E38DBC1">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w:t>
      </w:r>
    </w:p>
    <w:p w14:paraId="3B8FBB65">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我方已全面阅读和研究贵方的招标编号为</w:t>
      </w:r>
      <w:r>
        <w:rPr>
          <w:rFonts w:hint="eastAsia" w:ascii="仿宋" w:hAnsi="仿宋" w:eastAsia="仿宋" w:cs="宋体"/>
          <w:color w:val="auto"/>
          <w:sz w:val="24"/>
          <w:szCs w:val="24"/>
          <w:highlight w:val="none"/>
          <w:u w:val="single"/>
        </w:rPr>
        <w:t xml:space="preserve"> XXX </w:t>
      </w:r>
      <w:r>
        <w:rPr>
          <w:rFonts w:hint="eastAsia" w:ascii="仿宋" w:hAnsi="仿宋" w:eastAsia="仿宋" w:cs="宋体"/>
          <w:color w:val="auto"/>
          <w:sz w:val="24"/>
          <w:szCs w:val="24"/>
          <w:highlight w:val="none"/>
        </w:rPr>
        <w:t>的</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kern w:val="0"/>
          <w:sz w:val="24"/>
          <w:szCs w:val="24"/>
          <w:highlight w:val="none"/>
          <w:u w:val="single"/>
        </w:rPr>
        <w:t xml:space="preserve">           招标代理服务机构项目</w:t>
      </w:r>
      <w:r>
        <w:rPr>
          <w:rFonts w:hint="eastAsia" w:ascii="仿宋" w:hAnsi="仿宋" w:eastAsia="仿宋" w:cs="宋体"/>
          <w:color w:val="auto"/>
          <w:sz w:val="24"/>
          <w:szCs w:val="24"/>
          <w:highlight w:val="none"/>
        </w:rPr>
        <w:t>招标文件和招标补充文件，同意接受招标文件的全部内容和条件，并按此确定本项目投标的全部内容，以本投标文件向你方发包的全部内容进行投标。</w:t>
      </w:r>
    </w:p>
    <w:p w14:paraId="56CF1632">
      <w:pPr>
        <w:snapToGrid w:val="0"/>
        <w:spacing w:line="360" w:lineRule="auto"/>
        <w:ind w:firstLine="482"/>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针对本项目，我方报价如下：</w:t>
      </w:r>
    </w:p>
    <w:p w14:paraId="751956E0">
      <w:pPr>
        <w:snapToGrid w:val="0"/>
        <w:spacing w:line="360" w:lineRule="auto"/>
        <w:ind w:firstLine="482"/>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招标代理服务费按计价格</w:t>
      </w:r>
      <w:r>
        <w:rPr>
          <w:rFonts w:hint="eastAsia" w:ascii="仿宋" w:hAnsi="仿宋" w:eastAsia="仿宋" w:cs="宋体"/>
          <w:b/>
          <w:color w:val="auto"/>
          <w:sz w:val="24"/>
          <w:szCs w:val="24"/>
          <w:highlight w:val="none"/>
          <w:lang w:eastAsia="zh-CN"/>
        </w:rPr>
        <w:t>〔2002〕1980号</w:t>
      </w:r>
      <w:r>
        <w:rPr>
          <w:rFonts w:hint="eastAsia" w:ascii="仿宋" w:hAnsi="仿宋" w:eastAsia="仿宋" w:cs="宋体"/>
          <w:b/>
          <w:color w:val="auto"/>
          <w:sz w:val="24"/>
          <w:szCs w:val="24"/>
          <w:highlight w:val="none"/>
        </w:rPr>
        <w:t>文件的收费标准</w:t>
      </w:r>
      <w:r>
        <w:rPr>
          <w:rFonts w:hint="eastAsia" w:ascii="仿宋" w:hAnsi="仿宋" w:eastAsia="仿宋" w:cs="宋体"/>
          <w:b/>
          <w:color w:val="auto"/>
          <w:sz w:val="24"/>
          <w:szCs w:val="24"/>
          <w:highlight w:val="none"/>
          <w:lang w:val="en-US" w:eastAsia="zh-CN"/>
        </w:rPr>
        <w:t>的</w:t>
      </w:r>
      <w:r>
        <w:rPr>
          <w:rFonts w:hint="eastAsia" w:ascii="仿宋" w:hAnsi="仿宋" w:eastAsia="仿宋" w:cs="宋体"/>
          <w:b/>
          <w:color w:val="auto"/>
          <w:sz w:val="24"/>
          <w:szCs w:val="24"/>
          <w:highlight w:val="none"/>
          <w:u w:val="single"/>
        </w:rPr>
        <w:t xml:space="preserve">       </w:t>
      </w:r>
      <w:r>
        <w:rPr>
          <w:rFonts w:hint="eastAsia" w:ascii="仿宋" w:hAnsi="仿宋" w:eastAsia="仿宋" w:cs="宋体"/>
          <w:b/>
          <w:color w:val="auto"/>
          <w:sz w:val="24"/>
          <w:szCs w:val="24"/>
          <w:highlight w:val="none"/>
        </w:rPr>
        <w:t>%进行计算。单个项目服务费保底</w:t>
      </w:r>
      <w:r>
        <w:rPr>
          <w:rFonts w:hint="eastAsia" w:ascii="仿宋" w:hAnsi="仿宋" w:eastAsia="仿宋" w:cs="宋体"/>
          <w:b/>
          <w:color w:val="auto"/>
          <w:sz w:val="24"/>
          <w:szCs w:val="24"/>
          <w:highlight w:val="none"/>
          <w:lang w:eastAsia="zh-CN"/>
        </w:rPr>
        <w:t>收费</w:t>
      </w:r>
      <w:r>
        <w:rPr>
          <w:rFonts w:hint="eastAsia" w:ascii="仿宋" w:hAnsi="仿宋" w:eastAsia="仿宋" w:cs="宋体"/>
          <w:b/>
          <w:color w:val="auto"/>
          <w:sz w:val="24"/>
          <w:szCs w:val="24"/>
          <w:highlight w:val="none"/>
        </w:rPr>
        <w:t>人民币：</w:t>
      </w:r>
      <w:r>
        <w:rPr>
          <w:rFonts w:hint="eastAsia" w:ascii="仿宋" w:hAnsi="仿宋" w:eastAsia="仿宋" w:cs="宋体"/>
          <w:b/>
          <w:color w:val="auto"/>
          <w:sz w:val="24"/>
          <w:szCs w:val="24"/>
          <w:highlight w:val="none"/>
          <w:u w:val="single"/>
        </w:rPr>
        <w:t xml:space="preserve">            </w:t>
      </w:r>
      <w:r>
        <w:rPr>
          <w:rFonts w:hint="eastAsia" w:ascii="仿宋" w:hAnsi="仿宋" w:eastAsia="仿宋" w:cs="宋体"/>
          <w:b/>
          <w:color w:val="auto"/>
          <w:sz w:val="24"/>
          <w:szCs w:val="24"/>
          <w:highlight w:val="none"/>
        </w:rPr>
        <w:t>元</w:t>
      </w:r>
    </w:p>
    <w:p w14:paraId="46233450">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我方将严格按照有关招标投标法规及招标文件的规定参加投标，并理解贵方不一定接受最低标价的投标，对决标结果也没有解释义务。</w:t>
      </w:r>
    </w:p>
    <w:p w14:paraId="696ECF2C">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如由我方中标，在接到你方发出的中标通知后在规定的时间内，按中标通知、招标文件和本投标文件的约定与你方</w:t>
      </w:r>
      <w:r>
        <w:rPr>
          <w:rFonts w:hint="eastAsia" w:ascii="仿宋" w:hAnsi="仿宋" w:eastAsia="仿宋" w:cs="宋体"/>
          <w:color w:val="auto"/>
          <w:sz w:val="24"/>
          <w:szCs w:val="24"/>
          <w:highlight w:val="none"/>
          <w:lang w:eastAsia="zh-CN"/>
        </w:rPr>
        <w:t>签订</w:t>
      </w:r>
      <w:r>
        <w:rPr>
          <w:rFonts w:hint="eastAsia" w:ascii="仿宋" w:hAnsi="仿宋" w:eastAsia="仿宋" w:cs="宋体"/>
          <w:color w:val="auto"/>
          <w:sz w:val="24"/>
          <w:szCs w:val="24"/>
          <w:highlight w:val="none"/>
        </w:rPr>
        <w:t>招标代理合同，并递交招标文件中规定金额的履约保证金，履行规定的一切责任和义务。</w:t>
      </w:r>
    </w:p>
    <w:p w14:paraId="4B3B7B26">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rPr>
        <w:t>我方将按照招标文件的所有要求，提供优质的代理服务。</w:t>
      </w:r>
    </w:p>
    <w:p w14:paraId="025D2E17">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rPr>
        <w:t>我方已详细审查全部招标文件，我们完全理解并同意放弃对这方面有不明及误解的权利。</w:t>
      </w:r>
    </w:p>
    <w:p w14:paraId="4350700B">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rPr>
        <w:t>我方同意提供按照贵方可能要求的</w:t>
      </w:r>
      <w:r>
        <w:rPr>
          <w:rFonts w:hint="eastAsia" w:ascii="仿宋" w:hAnsi="仿宋" w:eastAsia="仿宋" w:cs="宋体"/>
          <w:color w:val="auto"/>
          <w:sz w:val="24"/>
          <w:szCs w:val="24"/>
          <w:highlight w:val="none"/>
          <w:lang w:eastAsia="zh-CN"/>
        </w:rPr>
        <w:t>与其</w:t>
      </w:r>
      <w:r>
        <w:rPr>
          <w:rFonts w:hint="eastAsia" w:ascii="仿宋" w:hAnsi="仿宋" w:eastAsia="仿宋" w:cs="宋体"/>
          <w:color w:val="auto"/>
          <w:sz w:val="24"/>
          <w:szCs w:val="24"/>
          <w:highlight w:val="none"/>
        </w:rPr>
        <w:t>投标有关的一切数据和资料。</w:t>
      </w:r>
    </w:p>
    <w:p w14:paraId="156A696F">
      <w:pPr>
        <w:snapToGrid w:val="0"/>
        <w:spacing w:line="360" w:lineRule="auto"/>
        <w:ind w:firstLine="482"/>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7.</w:t>
      </w:r>
      <w:r>
        <w:rPr>
          <w:rFonts w:hint="eastAsia" w:ascii="仿宋" w:hAnsi="仿宋" w:eastAsia="仿宋" w:cs="宋体"/>
          <w:color w:val="auto"/>
          <w:sz w:val="24"/>
          <w:szCs w:val="24"/>
          <w:highlight w:val="none"/>
        </w:rPr>
        <w:t>我方承认该投标文件格式为投标文件的组成部分。</w:t>
      </w:r>
    </w:p>
    <w:p w14:paraId="29F6B6C0">
      <w:pPr>
        <w:snapToGrid w:val="0"/>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8.</w:t>
      </w:r>
      <w:r>
        <w:rPr>
          <w:rFonts w:hint="eastAsia" w:ascii="仿宋" w:hAnsi="仿宋" w:eastAsia="仿宋" w:cs="宋体"/>
          <w:color w:val="auto"/>
          <w:sz w:val="24"/>
          <w:szCs w:val="24"/>
          <w:highlight w:val="none"/>
        </w:rPr>
        <w:t>本投标文件自递交你方之日起</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lang w:val="en-US" w:eastAsia="zh-CN"/>
        </w:rPr>
        <w:t>6</w:t>
      </w:r>
      <w:r>
        <w:rPr>
          <w:rFonts w:hint="eastAsia" w:ascii="仿宋" w:hAnsi="仿宋" w:eastAsia="仿宋" w:cs="宋体"/>
          <w:color w:val="auto"/>
          <w:sz w:val="24"/>
          <w:szCs w:val="24"/>
          <w:highlight w:val="none"/>
          <w:u w:val="single"/>
        </w:rPr>
        <w:t>0</w:t>
      </w:r>
      <w:r>
        <w:rPr>
          <w:rFonts w:hint="eastAsia" w:ascii="仿宋" w:hAnsi="仿宋" w:eastAsia="仿宋" w:cs="宋体"/>
          <w:color w:val="auto"/>
          <w:sz w:val="24"/>
          <w:szCs w:val="24"/>
          <w:highlight w:val="none"/>
        </w:rPr>
        <w:t>天内有效，在此有效期内，全部条款内容对我方具有约束力，如中标将成为招标代理合同文件组成部分。</w:t>
      </w:r>
    </w:p>
    <w:p w14:paraId="6708D557">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3E83F682">
      <w:pPr>
        <w:snapToGrid w:val="0"/>
        <w:spacing w:line="360" w:lineRule="auto"/>
        <w:rPr>
          <w:rFonts w:ascii="仿宋" w:hAnsi="仿宋" w:eastAsia="仿宋" w:cs="宋体"/>
          <w:color w:val="auto"/>
          <w:sz w:val="24"/>
          <w:szCs w:val="24"/>
          <w:highlight w:val="none"/>
        </w:rPr>
      </w:pPr>
    </w:p>
    <w:p w14:paraId="1DE11A8E">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投标人（盖公章）：             法定代表人或授权代表（签章）：</w:t>
      </w:r>
    </w:p>
    <w:p w14:paraId="465D45E6">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3111737B">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联系人：                      联系地址：</w:t>
      </w:r>
    </w:p>
    <w:p w14:paraId="571FBFE3">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278697F0">
      <w:pPr>
        <w:widowControl/>
        <w:spacing w:line="420" w:lineRule="atLeas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sz w:val="24"/>
          <w:szCs w:val="24"/>
          <w:highlight w:val="none"/>
        </w:rPr>
        <w:t xml:space="preserve">    日期：</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日</w:t>
      </w:r>
      <w:r>
        <w:rPr>
          <w:rFonts w:hint="eastAsia" w:ascii="仿宋" w:hAnsi="仿宋" w:eastAsia="仿宋" w:cs="宋体"/>
          <w:color w:val="auto"/>
          <w:kern w:val="0"/>
          <w:sz w:val="28"/>
          <w:szCs w:val="28"/>
          <w:highlight w:val="none"/>
          <w:lang w:val="en-US" w:eastAsia="zh-CN"/>
        </w:rPr>
        <w:t xml:space="preserve"> </w:t>
      </w:r>
    </w:p>
    <w:p w14:paraId="73CDC1A1">
      <w:pPr>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br w:type="page"/>
      </w:r>
    </w:p>
    <w:p w14:paraId="6838758E">
      <w:pPr>
        <w:widowControl/>
        <w:spacing w:line="420" w:lineRule="atLeast"/>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附件4                     </w:t>
      </w:r>
    </w:p>
    <w:p w14:paraId="53DE1111">
      <w:pPr>
        <w:widowControl/>
        <w:spacing w:line="420" w:lineRule="atLeast"/>
        <w:jc w:val="center"/>
        <w:rPr>
          <w:color w:val="auto"/>
          <w:highlight w:val="none"/>
        </w:rPr>
      </w:pPr>
      <w:r>
        <w:rPr>
          <w:rFonts w:hint="eastAsia" w:ascii="仿宋" w:hAnsi="仿宋" w:eastAsia="仿宋" w:cs="宋体"/>
          <w:b/>
          <w:bCs/>
          <w:color w:val="auto"/>
          <w:kern w:val="0"/>
          <w:sz w:val="28"/>
          <w:szCs w:val="28"/>
          <w:highlight w:val="none"/>
          <w:lang w:eastAsia="zh-CN"/>
        </w:rPr>
        <w:t>报价一览表</w:t>
      </w:r>
    </w:p>
    <w:p w14:paraId="7CAB81AB">
      <w:pPr>
        <w:widowControl/>
        <w:jc w:val="left"/>
        <w:rPr>
          <w:color w:val="auto"/>
          <w:highlight w:val="none"/>
        </w:rPr>
      </w:pPr>
    </w:p>
    <w:p w14:paraId="49DC0F3C">
      <w:pPr>
        <w:ind w:left="1067" w:hanging="1067" w:hangingChars="443"/>
        <w:rPr>
          <w:rFonts w:hint="eastAsia" w:ascii="仿宋" w:hAnsi="仿宋" w:eastAsia="仿宋"/>
          <w:b/>
          <w:color w:val="auto"/>
          <w:sz w:val="24"/>
          <w:szCs w:val="24"/>
          <w:highlight w:val="none"/>
          <w:lang w:eastAsia="zh-CN"/>
        </w:rPr>
      </w:pPr>
      <w:r>
        <w:rPr>
          <w:rFonts w:hint="eastAsia" w:ascii="仿宋" w:hAnsi="仿宋" w:eastAsia="仿宋"/>
          <w:b/>
          <w:color w:val="auto"/>
          <w:sz w:val="24"/>
          <w:szCs w:val="24"/>
          <w:highlight w:val="none"/>
        </w:rPr>
        <w:t>项目名称：义乌市稠城街道社区卫生服务中心一般货物、服务类项目招标代理服务</w:t>
      </w:r>
    </w:p>
    <w:p w14:paraId="276F95AB">
      <w:pPr>
        <w:ind w:left="1067" w:hanging="1067" w:hangingChars="443"/>
        <w:rPr>
          <w:rFonts w:ascii="仿宋" w:hAnsi="仿宋" w:eastAsia="仿宋"/>
          <w:b/>
          <w:color w:val="auto"/>
          <w:sz w:val="24"/>
          <w:szCs w:val="24"/>
          <w:highlight w:val="none"/>
          <w:u w:val="single"/>
        </w:rPr>
      </w:pPr>
      <w:r>
        <w:rPr>
          <w:rFonts w:hint="eastAsia" w:ascii="仿宋" w:hAnsi="仿宋" w:eastAsia="仿宋"/>
          <w:b/>
          <w:color w:val="auto"/>
          <w:sz w:val="24"/>
          <w:szCs w:val="24"/>
          <w:highlight w:val="none"/>
        </w:rPr>
        <w:t>招标编号：</w:t>
      </w:r>
      <w:r>
        <w:rPr>
          <w:rFonts w:hint="eastAsia" w:ascii="仿宋" w:hAnsi="仿宋" w:eastAsia="仿宋"/>
          <w:b/>
          <w:color w:val="auto"/>
          <w:sz w:val="24"/>
          <w:szCs w:val="24"/>
          <w:highlight w:val="none"/>
          <w:u w:val="single"/>
        </w:rPr>
        <w:t xml:space="preserve">               </w:t>
      </w:r>
    </w:p>
    <w:p w14:paraId="2A3B4181">
      <w:pPr>
        <w:rPr>
          <w:rFonts w:ascii="仿宋" w:hAnsi="仿宋" w:eastAsia="仿宋"/>
          <w:color w:val="auto"/>
          <w:sz w:val="24"/>
          <w:szCs w:val="24"/>
          <w:highlight w:val="none"/>
        </w:rPr>
      </w:pPr>
    </w:p>
    <w:p w14:paraId="24FE3D5F">
      <w:pPr>
        <w:rPr>
          <w:rFonts w:ascii="仿宋" w:hAnsi="仿宋" w:eastAsia="仿宋"/>
          <w:color w:val="auto"/>
          <w:sz w:val="24"/>
          <w:szCs w:val="24"/>
          <w:highlight w:val="none"/>
        </w:rPr>
      </w:pPr>
    </w:p>
    <w:tbl>
      <w:tblPr>
        <w:tblStyle w:val="11"/>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2"/>
        <w:gridCol w:w="5058"/>
      </w:tblGrid>
      <w:tr w14:paraId="2BF17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200" w:type="dxa"/>
            <w:gridSpan w:val="2"/>
            <w:noWrap w:val="0"/>
            <w:vAlign w:val="center"/>
          </w:tcPr>
          <w:p w14:paraId="5914A226">
            <w:pPr>
              <w:jc w:val="center"/>
              <w:rPr>
                <w:rFonts w:hint="eastAsia" w:ascii="仿宋" w:hAnsi="仿宋" w:eastAsia="仿宋" w:cs="仿宋"/>
                <w:color w:val="auto"/>
                <w:sz w:val="24"/>
                <w:szCs w:val="24"/>
              </w:rPr>
            </w:pPr>
            <w:r>
              <w:rPr>
                <w:rFonts w:hint="eastAsia" w:ascii="仿宋" w:hAnsi="仿宋" w:eastAsia="仿宋" w:cs="仿宋"/>
                <w:b/>
                <w:bCs/>
                <w:color w:val="auto"/>
                <w:sz w:val="24"/>
                <w:szCs w:val="20"/>
                <w:lang w:val="en-US" w:eastAsia="zh-CN"/>
              </w:rPr>
              <w:t>招标（</w:t>
            </w:r>
            <w:r>
              <w:rPr>
                <w:rFonts w:hint="eastAsia" w:ascii="仿宋" w:hAnsi="仿宋" w:eastAsia="仿宋" w:cs="仿宋"/>
                <w:b/>
                <w:bCs/>
                <w:color w:val="auto"/>
                <w:sz w:val="24"/>
                <w:szCs w:val="20"/>
              </w:rPr>
              <w:t>采购</w:t>
            </w:r>
            <w:r>
              <w:rPr>
                <w:rFonts w:hint="eastAsia" w:ascii="仿宋" w:hAnsi="仿宋" w:eastAsia="仿宋" w:cs="仿宋"/>
                <w:b/>
                <w:bCs/>
                <w:color w:val="auto"/>
                <w:sz w:val="24"/>
                <w:szCs w:val="20"/>
                <w:lang w:eastAsia="zh-CN"/>
              </w:rPr>
              <w:t>）</w:t>
            </w:r>
            <w:r>
              <w:rPr>
                <w:rFonts w:hint="eastAsia" w:ascii="仿宋" w:hAnsi="仿宋" w:eastAsia="仿宋" w:cs="仿宋"/>
                <w:b/>
                <w:bCs/>
                <w:color w:val="auto"/>
                <w:sz w:val="24"/>
                <w:szCs w:val="20"/>
              </w:rPr>
              <w:t>代理服务费报价表</w:t>
            </w:r>
          </w:p>
        </w:tc>
      </w:tr>
      <w:tr w14:paraId="7DF6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3142" w:type="dxa"/>
            <w:noWrap w:val="0"/>
            <w:vAlign w:val="center"/>
          </w:tcPr>
          <w:p w14:paraId="2EAA767D">
            <w:pPr>
              <w:jc w:val="center"/>
              <w:rPr>
                <w:rFonts w:hint="eastAsia" w:ascii="仿宋" w:hAnsi="仿宋" w:eastAsia="仿宋" w:cs="仿宋"/>
                <w:color w:val="auto"/>
                <w:sz w:val="24"/>
                <w:szCs w:val="24"/>
              </w:rPr>
            </w:pPr>
            <w:r>
              <w:rPr>
                <w:rFonts w:hint="eastAsia" w:ascii="仿宋" w:hAnsi="仿宋" w:eastAsia="仿宋" w:cs="仿宋"/>
                <w:color w:val="auto"/>
                <w:spacing w:val="-6"/>
                <w:sz w:val="24"/>
                <w:szCs w:val="20"/>
                <w:lang w:val="en-US" w:eastAsia="zh-CN"/>
              </w:rPr>
              <w:t>招标（采购）</w:t>
            </w:r>
            <w:r>
              <w:rPr>
                <w:rFonts w:hint="eastAsia" w:ascii="仿宋" w:hAnsi="仿宋" w:eastAsia="仿宋" w:cs="仿宋"/>
                <w:color w:val="auto"/>
                <w:spacing w:val="-6"/>
                <w:sz w:val="24"/>
                <w:szCs w:val="20"/>
              </w:rPr>
              <w:t>代理服务费</w:t>
            </w:r>
          </w:p>
        </w:tc>
        <w:tc>
          <w:tcPr>
            <w:tcW w:w="5058" w:type="dxa"/>
            <w:noWrap w:val="0"/>
            <w:vAlign w:val="center"/>
          </w:tcPr>
          <w:p w14:paraId="058C55B1">
            <w:pPr>
              <w:rPr>
                <w:rFonts w:hint="eastAsia" w:ascii="仿宋" w:hAnsi="仿宋" w:eastAsia="仿宋" w:cs="仿宋"/>
                <w:b w:val="0"/>
                <w:bCs/>
                <w:color w:val="auto"/>
                <w:sz w:val="24"/>
                <w:szCs w:val="24"/>
              </w:rPr>
            </w:pPr>
            <w:r>
              <w:rPr>
                <w:rFonts w:hint="eastAsia" w:ascii="仿宋" w:hAnsi="仿宋" w:eastAsia="仿宋"/>
                <w:b w:val="0"/>
                <w:bCs/>
                <w:color w:val="auto"/>
                <w:sz w:val="24"/>
                <w:highlight w:val="none"/>
                <w:lang w:eastAsia="zh-CN"/>
              </w:rPr>
              <w:t>结算率</w:t>
            </w:r>
            <w:r>
              <w:rPr>
                <w:rFonts w:hint="eastAsia" w:ascii="仿宋" w:hAnsi="仿宋" w:eastAsia="仿宋" w:cs="仿宋"/>
                <w:b w:val="0"/>
                <w:bCs/>
                <w:color w:val="auto"/>
                <w:spacing w:val="-6"/>
                <w:sz w:val="24"/>
                <w:szCs w:val="20"/>
              </w:rPr>
              <w:t>：</w:t>
            </w:r>
            <w:r>
              <w:rPr>
                <w:rFonts w:hint="eastAsia" w:ascii="仿宋" w:hAnsi="仿宋" w:eastAsia="仿宋" w:cs="仿宋"/>
                <w:b w:val="0"/>
                <w:bCs/>
                <w:color w:val="auto"/>
                <w:spacing w:val="-6"/>
                <w:sz w:val="24"/>
                <w:szCs w:val="20"/>
                <w:u w:val="single"/>
              </w:rPr>
              <w:t xml:space="preserve">            </w:t>
            </w:r>
            <w:r>
              <w:rPr>
                <w:rFonts w:hint="eastAsia" w:ascii="仿宋" w:hAnsi="仿宋" w:eastAsia="仿宋"/>
                <w:b w:val="0"/>
                <w:bCs/>
                <w:color w:val="auto"/>
                <w:sz w:val="24"/>
                <w:szCs w:val="24"/>
                <w:highlight w:val="none"/>
                <w:u w:val="single"/>
                <w:lang w:val="en-US" w:eastAsia="zh-CN"/>
              </w:rPr>
              <w:t>%</w:t>
            </w:r>
          </w:p>
        </w:tc>
      </w:tr>
      <w:tr w14:paraId="0706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3142" w:type="dxa"/>
            <w:noWrap w:val="0"/>
            <w:vAlign w:val="center"/>
          </w:tcPr>
          <w:p w14:paraId="5D4D8598">
            <w:pPr>
              <w:jc w:val="center"/>
              <w:rPr>
                <w:rFonts w:hint="eastAsia" w:ascii="仿宋" w:hAnsi="仿宋" w:eastAsia="仿宋" w:cs="仿宋"/>
                <w:color w:val="auto"/>
                <w:sz w:val="24"/>
                <w:szCs w:val="24"/>
              </w:rPr>
            </w:pPr>
            <w:r>
              <w:rPr>
                <w:rFonts w:hint="eastAsia" w:ascii="仿宋" w:hAnsi="仿宋" w:eastAsia="仿宋" w:cs="仿宋"/>
                <w:color w:val="auto"/>
                <w:spacing w:val="-6"/>
                <w:sz w:val="24"/>
                <w:szCs w:val="20"/>
                <w:lang w:val="en-US" w:eastAsia="zh-CN"/>
              </w:rPr>
              <w:t>单个</w:t>
            </w:r>
            <w:r>
              <w:rPr>
                <w:rFonts w:hint="eastAsia" w:ascii="仿宋" w:hAnsi="仿宋" w:eastAsia="仿宋" w:cs="仿宋"/>
                <w:color w:val="auto"/>
                <w:spacing w:val="-6"/>
                <w:sz w:val="24"/>
                <w:szCs w:val="20"/>
              </w:rPr>
              <w:t>项目服务费保底</w:t>
            </w:r>
          </w:p>
        </w:tc>
        <w:tc>
          <w:tcPr>
            <w:tcW w:w="5058" w:type="dxa"/>
            <w:noWrap w:val="0"/>
            <w:vAlign w:val="center"/>
          </w:tcPr>
          <w:p w14:paraId="5AB414FE">
            <w:pPr>
              <w:rPr>
                <w:rFonts w:hint="eastAsia" w:ascii="仿宋" w:hAnsi="仿宋" w:eastAsia="仿宋" w:cs="仿宋"/>
                <w:b w:val="0"/>
                <w:bCs/>
                <w:color w:val="auto"/>
                <w:sz w:val="24"/>
                <w:szCs w:val="24"/>
                <w:u w:val="none"/>
              </w:rPr>
            </w:pPr>
            <w:r>
              <w:rPr>
                <w:rFonts w:hint="eastAsia" w:ascii="仿宋" w:hAnsi="仿宋" w:eastAsia="仿宋" w:cs="仿宋"/>
                <w:b w:val="0"/>
                <w:bCs/>
                <w:color w:val="auto"/>
                <w:spacing w:val="-6"/>
                <w:sz w:val="24"/>
                <w:szCs w:val="20"/>
              </w:rPr>
              <w:t>人民币：</w:t>
            </w:r>
            <w:r>
              <w:rPr>
                <w:rFonts w:hint="eastAsia" w:ascii="仿宋" w:hAnsi="仿宋" w:eastAsia="仿宋" w:cs="仿宋"/>
                <w:b w:val="0"/>
                <w:bCs/>
                <w:color w:val="auto"/>
                <w:spacing w:val="-6"/>
                <w:sz w:val="24"/>
                <w:szCs w:val="20"/>
                <w:u w:val="single"/>
                <w:lang w:val="en-US" w:eastAsia="zh-CN"/>
              </w:rPr>
              <w:t xml:space="preserve">            </w:t>
            </w:r>
            <w:r>
              <w:rPr>
                <w:rFonts w:hint="eastAsia" w:ascii="仿宋" w:hAnsi="仿宋" w:eastAsia="仿宋" w:cs="仿宋"/>
                <w:b w:val="0"/>
                <w:bCs/>
                <w:color w:val="auto"/>
                <w:spacing w:val="-6"/>
                <w:sz w:val="24"/>
                <w:szCs w:val="20"/>
                <w:u w:val="none"/>
                <w:lang w:val="en-US" w:eastAsia="zh-CN"/>
              </w:rPr>
              <w:t>元</w:t>
            </w:r>
          </w:p>
        </w:tc>
      </w:tr>
    </w:tbl>
    <w:p w14:paraId="0502F6DD">
      <w:pPr>
        <w:spacing w:before="312" w:beforeLines="100" w:after="156" w:afterLines="50"/>
        <w:rPr>
          <w:rFonts w:ascii="仿宋" w:hAnsi="仿宋" w:eastAsia="仿宋"/>
          <w:b/>
          <w:color w:val="auto"/>
          <w:sz w:val="24"/>
          <w:highlight w:val="none"/>
        </w:rPr>
      </w:pPr>
    </w:p>
    <w:p w14:paraId="437AF993">
      <w:pPr>
        <w:spacing w:before="312" w:beforeLines="100" w:after="156" w:afterLines="50"/>
        <w:rPr>
          <w:rFonts w:hint="eastAsia" w:ascii="仿宋" w:hAnsi="仿宋" w:eastAsia="仿宋"/>
          <w:b/>
          <w:color w:val="auto"/>
          <w:sz w:val="24"/>
          <w:highlight w:val="none"/>
          <w:lang w:eastAsia="zh-CN"/>
        </w:rPr>
      </w:pPr>
      <w:r>
        <w:rPr>
          <w:rFonts w:ascii="仿宋" w:hAnsi="仿宋" w:eastAsia="仿宋"/>
          <w:b/>
          <w:color w:val="auto"/>
          <w:sz w:val="24"/>
          <w:highlight w:val="none"/>
        </w:rPr>
        <w:t>注1：服务期内保持不变，</w:t>
      </w:r>
      <w:r>
        <w:rPr>
          <w:rFonts w:hint="eastAsia" w:ascii="仿宋" w:hAnsi="仿宋" w:eastAsia="仿宋"/>
          <w:b/>
          <w:color w:val="auto"/>
          <w:sz w:val="24"/>
          <w:highlight w:val="none"/>
        </w:rPr>
        <w:t>招标代理服务费</w:t>
      </w:r>
      <w:r>
        <w:rPr>
          <w:rFonts w:ascii="仿宋" w:hAnsi="仿宋" w:eastAsia="仿宋"/>
          <w:b/>
          <w:color w:val="auto"/>
          <w:sz w:val="24"/>
          <w:highlight w:val="none"/>
        </w:rPr>
        <w:t>=</w:t>
      </w:r>
      <w:r>
        <w:rPr>
          <w:rFonts w:hint="eastAsia" w:ascii="仿宋" w:hAnsi="仿宋" w:eastAsia="仿宋" w:cs="宋体"/>
          <w:b/>
          <w:color w:val="auto"/>
          <w:sz w:val="24"/>
          <w:szCs w:val="24"/>
          <w:highlight w:val="none"/>
        </w:rPr>
        <w:t>招标代理服务费按计价格</w:t>
      </w:r>
      <w:r>
        <w:rPr>
          <w:rFonts w:hint="eastAsia" w:ascii="仿宋" w:hAnsi="仿宋" w:eastAsia="仿宋" w:cs="宋体"/>
          <w:b/>
          <w:color w:val="auto"/>
          <w:sz w:val="24"/>
          <w:szCs w:val="24"/>
          <w:highlight w:val="none"/>
          <w:lang w:eastAsia="zh-CN"/>
        </w:rPr>
        <w:t>〔2002〕1980号</w:t>
      </w:r>
      <w:r>
        <w:rPr>
          <w:rFonts w:hint="eastAsia" w:ascii="仿宋" w:hAnsi="仿宋" w:eastAsia="仿宋" w:cs="宋体"/>
          <w:b/>
          <w:color w:val="auto"/>
          <w:sz w:val="24"/>
          <w:szCs w:val="24"/>
          <w:highlight w:val="none"/>
        </w:rPr>
        <w:t>文件的收费标准</w:t>
      </w:r>
      <w:r>
        <w:rPr>
          <w:rFonts w:ascii="仿宋" w:hAnsi="仿宋" w:eastAsia="仿宋"/>
          <w:b/>
          <w:color w:val="auto"/>
          <w:sz w:val="24"/>
          <w:highlight w:val="none"/>
        </w:rPr>
        <w:t>*</w:t>
      </w:r>
      <w:r>
        <w:rPr>
          <w:rFonts w:hint="eastAsia" w:ascii="仿宋" w:hAnsi="仿宋" w:eastAsia="仿宋"/>
          <w:b/>
          <w:color w:val="auto"/>
          <w:sz w:val="24"/>
          <w:highlight w:val="none"/>
          <w:lang w:eastAsia="zh-CN"/>
        </w:rPr>
        <w:t>结算率</w:t>
      </w:r>
    </w:p>
    <w:p w14:paraId="2860750C">
      <w:pPr>
        <w:spacing w:line="440" w:lineRule="exact"/>
        <w:rPr>
          <w:rFonts w:ascii="仿宋" w:hAnsi="仿宋" w:eastAsia="仿宋"/>
          <w:color w:val="auto"/>
          <w:sz w:val="24"/>
          <w:szCs w:val="24"/>
          <w:highlight w:val="none"/>
        </w:rPr>
      </w:pPr>
    </w:p>
    <w:p w14:paraId="464AA412">
      <w:pPr>
        <w:rPr>
          <w:rFonts w:ascii="仿宋" w:hAnsi="仿宋" w:eastAsia="仿宋"/>
          <w:color w:val="auto"/>
          <w:sz w:val="24"/>
          <w:szCs w:val="24"/>
          <w:highlight w:val="none"/>
        </w:rPr>
      </w:pPr>
    </w:p>
    <w:p w14:paraId="2536F6B2">
      <w:pPr>
        <w:rPr>
          <w:rFonts w:ascii="仿宋" w:hAnsi="仿宋" w:eastAsia="仿宋"/>
          <w:color w:val="auto"/>
          <w:sz w:val="24"/>
          <w:szCs w:val="24"/>
          <w:highlight w:val="none"/>
        </w:rPr>
      </w:pPr>
    </w:p>
    <w:p w14:paraId="28ED173C">
      <w:pPr>
        <w:rPr>
          <w:rFonts w:ascii="仿宋" w:hAnsi="仿宋" w:eastAsia="仿宋"/>
          <w:color w:val="auto"/>
          <w:sz w:val="24"/>
          <w:szCs w:val="24"/>
          <w:highlight w:val="none"/>
        </w:rPr>
      </w:pPr>
    </w:p>
    <w:p w14:paraId="7FAAA7D5">
      <w:pPr>
        <w:rPr>
          <w:rFonts w:ascii="仿宋" w:hAnsi="仿宋" w:eastAsia="仿宋"/>
          <w:color w:val="auto"/>
          <w:sz w:val="24"/>
          <w:szCs w:val="24"/>
          <w:highlight w:val="none"/>
        </w:rPr>
      </w:pPr>
    </w:p>
    <w:p w14:paraId="063B381A">
      <w:pPr>
        <w:rPr>
          <w:rFonts w:ascii="仿宋" w:hAnsi="仿宋" w:eastAsia="仿宋"/>
          <w:color w:val="auto"/>
          <w:sz w:val="24"/>
          <w:szCs w:val="24"/>
          <w:highlight w:val="none"/>
        </w:rPr>
      </w:pPr>
    </w:p>
    <w:p w14:paraId="190D0997">
      <w:pPr>
        <w:ind w:left="4680" w:hanging="4680" w:hangingChars="1950"/>
        <w:rPr>
          <w:rFonts w:ascii="仿宋" w:hAnsi="仿宋" w:eastAsia="仿宋"/>
          <w:color w:val="auto"/>
          <w:sz w:val="24"/>
          <w:szCs w:val="24"/>
          <w:highlight w:val="none"/>
        </w:rPr>
      </w:pPr>
      <w:r>
        <w:rPr>
          <w:rFonts w:ascii="仿宋" w:hAnsi="仿宋" w:eastAsia="仿宋"/>
          <w:color w:val="auto"/>
          <w:sz w:val="24"/>
          <w:szCs w:val="24"/>
          <w:highlight w:val="none"/>
        </w:rPr>
        <w:br w:type="textWrapping"/>
      </w:r>
      <w:r>
        <w:rPr>
          <w:rFonts w:ascii="仿宋" w:hAnsi="仿宋" w:eastAsia="仿宋"/>
          <w:color w:val="auto"/>
          <w:sz w:val="24"/>
          <w:szCs w:val="24"/>
          <w:highlight w:val="none"/>
        </w:rPr>
        <w:t>投标人：（盖章</w:t>
      </w:r>
      <w:r>
        <w:rPr>
          <w:rFonts w:hint="eastAsia" w:ascii="仿宋" w:hAnsi="仿宋" w:eastAsia="仿宋"/>
          <w:color w:val="auto"/>
          <w:sz w:val="24"/>
          <w:szCs w:val="24"/>
          <w:highlight w:val="none"/>
        </w:rPr>
        <w:t>或签字</w:t>
      </w:r>
      <w:r>
        <w:rPr>
          <w:rFonts w:ascii="仿宋" w:hAnsi="仿宋" w:eastAsia="仿宋"/>
          <w:color w:val="auto"/>
          <w:sz w:val="24"/>
          <w:szCs w:val="24"/>
          <w:highlight w:val="none"/>
        </w:rPr>
        <w:t>）</w:t>
      </w:r>
      <w:r>
        <w:rPr>
          <w:rFonts w:ascii="仿宋" w:hAnsi="仿宋" w:eastAsia="仿宋"/>
          <w:color w:val="auto"/>
          <w:sz w:val="24"/>
          <w:szCs w:val="24"/>
          <w:highlight w:val="none"/>
        </w:rPr>
        <w:br w:type="textWrapping"/>
      </w:r>
      <w:r>
        <w:rPr>
          <w:rFonts w:ascii="仿宋" w:hAnsi="仿宋" w:eastAsia="仿宋"/>
          <w:color w:val="auto"/>
          <w:sz w:val="24"/>
          <w:szCs w:val="24"/>
          <w:highlight w:val="none"/>
        </w:rPr>
        <w:t>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        </w:t>
      </w:r>
    </w:p>
    <w:p w14:paraId="62E0473F">
      <w:pPr>
        <w:ind w:firstLine="240" w:firstLineChars="100"/>
        <w:jc w:val="right"/>
        <w:rPr>
          <w:rFonts w:ascii="仿宋" w:hAnsi="仿宋" w:eastAsia="仿宋"/>
          <w:color w:val="auto"/>
          <w:sz w:val="24"/>
          <w:szCs w:val="24"/>
          <w:highlight w:val="none"/>
        </w:rPr>
      </w:pPr>
      <w:r>
        <w:rPr>
          <w:rFonts w:ascii="仿宋" w:hAnsi="仿宋" w:eastAsia="仿宋"/>
          <w:color w:val="auto"/>
          <w:sz w:val="24"/>
          <w:szCs w:val="24"/>
          <w:highlight w:val="none"/>
        </w:rPr>
        <w:t> 年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 月  </w:t>
      </w:r>
      <w:r>
        <w:rPr>
          <w:rFonts w:hint="eastAsia" w:ascii="仿宋" w:hAnsi="仿宋" w:eastAsia="仿宋"/>
          <w:color w:val="auto"/>
          <w:sz w:val="24"/>
          <w:szCs w:val="24"/>
          <w:highlight w:val="none"/>
          <w:lang w:val="en-US" w:eastAsia="zh-CN"/>
        </w:rPr>
        <w:t xml:space="preserve">  </w:t>
      </w:r>
      <w:r>
        <w:rPr>
          <w:rFonts w:ascii="仿宋" w:hAnsi="仿宋" w:eastAsia="仿宋"/>
          <w:color w:val="auto"/>
          <w:sz w:val="24"/>
          <w:szCs w:val="24"/>
          <w:highlight w:val="none"/>
        </w:rPr>
        <w:t>日      </w:t>
      </w:r>
    </w:p>
    <w:p w14:paraId="0B76D700">
      <w:pPr>
        <w:ind w:firstLine="5160" w:firstLineChars="2150"/>
        <w:rPr>
          <w:rFonts w:ascii="仿宋" w:hAnsi="仿宋" w:eastAsia="仿宋"/>
          <w:color w:val="auto"/>
          <w:sz w:val="24"/>
          <w:szCs w:val="24"/>
          <w:highlight w:val="none"/>
        </w:rPr>
      </w:pPr>
    </w:p>
    <w:p w14:paraId="44B7661F">
      <w:pPr>
        <w:ind w:firstLine="5160" w:firstLineChars="2150"/>
        <w:rPr>
          <w:rFonts w:ascii="仿宋" w:hAnsi="仿宋" w:eastAsia="仿宋"/>
          <w:color w:val="auto"/>
          <w:sz w:val="24"/>
          <w:szCs w:val="24"/>
          <w:highlight w:val="none"/>
        </w:rPr>
      </w:pPr>
    </w:p>
    <w:p w14:paraId="368067ED">
      <w:pPr>
        <w:ind w:firstLine="5160" w:firstLineChars="2150"/>
        <w:rPr>
          <w:rFonts w:ascii="仿宋" w:hAnsi="仿宋" w:eastAsia="仿宋"/>
          <w:color w:val="auto"/>
          <w:sz w:val="24"/>
          <w:szCs w:val="24"/>
          <w:highlight w:val="none"/>
        </w:rPr>
      </w:pPr>
    </w:p>
    <w:p w14:paraId="49E07E19">
      <w:pPr>
        <w:ind w:firstLine="5160" w:firstLineChars="2150"/>
        <w:rPr>
          <w:rFonts w:ascii="仿宋" w:hAnsi="仿宋" w:eastAsia="仿宋"/>
          <w:color w:val="auto"/>
          <w:sz w:val="24"/>
          <w:szCs w:val="24"/>
          <w:highlight w:val="none"/>
        </w:rPr>
      </w:pPr>
    </w:p>
    <w:p w14:paraId="0790E107">
      <w:pPr>
        <w:ind w:firstLine="5160" w:firstLineChars="2150"/>
        <w:rPr>
          <w:rFonts w:ascii="仿宋" w:hAnsi="仿宋" w:eastAsia="仿宋"/>
          <w:color w:val="auto"/>
          <w:sz w:val="24"/>
          <w:szCs w:val="24"/>
          <w:highlight w:val="none"/>
        </w:rPr>
      </w:pPr>
    </w:p>
    <w:p w14:paraId="57EF0347">
      <w:pPr>
        <w:rPr>
          <w:rFonts w:ascii="仿宋" w:hAnsi="仿宋" w:eastAsia="仿宋"/>
          <w:color w:val="auto"/>
          <w:sz w:val="24"/>
          <w:szCs w:val="24"/>
          <w:highlight w:val="none"/>
        </w:rPr>
      </w:pPr>
    </w:p>
    <w:p w14:paraId="235CAB6C">
      <w:pPr>
        <w:ind w:firstLine="5160" w:firstLineChars="2150"/>
        <w:rPr>
          <w:rFonts w:ascii="仿宋" w:hAnsi="仿宋" w:eastAsia="仿宋"/>
          <w:color w:val="auto"/>
          <w:sz w:val="24"/>
          <w:szCs w:val="24"/>
          <w:highlight w:val="none"/>
        </w:rPr>
      </w:pPr>
    </w:p>
    <w:p w14:paraId="769E577A">
      <w:pPr>
        <w:rPr>
          <w:rFonts w:hint="eastAsia" w:ascii="仿宋" w:hAnsi="仿宋" w:eastAsia="仿宋" w:cs="宋体"/>
          <w:b/>
          <w:color w:val="auto"/>
          <w:sz w:val="24"/>
          <w:szCs w:val="24"/>
          <w:highlight w:val="none"/>
        </w:rPr>
      </w:pPr>
      <w:r>
        <w:rPr>
          <w:rFonts w:hint="eastAsia" w:ascii="仿宋" w:hAnsi="仿宋" w:eastAsia="仿宋" w:cs="宋体"/>
          <w:b/>
          <w:color w:val="auto"/>
          <w:sz w:val="24"/>
          <w:szCs w:val="24"/>
          <w:highlight w:val="none"/>
        </w:rPr>
        <w:br w:type="page"/>
      </w:r>
    </w:p>
    <w:p w14:paraId="54CB3E53">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合同模板</w:t>
      </w:r>
    </w:p>
    <w:p w14:paraId="26BCDC25">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甲方：</w:t>
      </w:r>
      <w:r>
        <w:rPr>
          <w:rFonts w:hint="eastAsia" w:ascii="仿宋" w:hAnsi="仿宋" w:eastAsia="仿宋" w:cs="宋体"/>
          <w:color w:val="auto"/>
          <w:sz w:val="24"/>
          <w:szCs w:val="24"/>
          <w:highlight w:val="none"/>
          <w:u w:val="single"/>
        </w:rPr>
        <w:t xml:space="preserve">                   </w:t>
      </w:r>
    </w:p>
    <w:p w14:paraId="2C797B26">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w:t>
      </w:r>
      <w:r>
        <w:rPr>
          <w:rFonts w:hint="eastAsia" w:ascii="仿宋" w:hAnsi="仿宋" w:eastAsia="仿宋" w:cs="宋体"/>
          <w:color w:val="auto"/>
          <w:sz w:val="24"/>
          <w:szCs w:val="24"/>
          <w:highlight w:val="none"/>
          <w:u w:val="single"/>
        </w:rPr>
        <w:t xml:space="preserve">                    </w:t>
      </w:r>
    </w:p>
    <w:p w14:paraId="1230261C">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firstLine="482"/>
        <w:textAlignment w:val="auto"/>
        <w:rPr>
          <w:rFonts w:hint="eastAsia" w:ascii="仿宋" w:hAnsi="仿宋" w:eastAsia="仿宋" w:cs="宋体"/>
          <w:color w:val="auto"/>
          <w:sz w:val="24"/>
          <w:szCs w:val="24"/>
          <w:highlight w:val="none"/>
        </w:rPr>
      </w:pPr>
    </w:p>
    <w:p w14:paraId="2D8F426E">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firstLine="482"/>
        <w:jc w:val="left"/>
        <w:textAlignment w:val="auto"/>
        <w:rPr>
          <w:rFonts w:ascii="仿宋" w:hAnsi="仿宋" w:eastAsia="仿宋" w:cs="宋体"/>
          <w:color w:val="auto"/>
          <w:kern w:val="0"/>
          <w:sz w:val="24"/>
          <w:szCs w:val="24"/>
          <w:highlight w:val="none"/>
          <w:u w:val="single"/>
        </w:rPr>
      </w:pPr>
      <w:r>
        <w:rPr>
          <w:rFonts w:hint="eastAsia" w:ascii="仿宋" w:hAnsi="仿宋" w:eastAsia="仿宋" w:cs="宋体"/>
          <w:color w:val="auto"/>
          <w:sz w:val="24"/>
          <w:szCs w:val="24"/>
          <w:highlight w:val="none"/>
        </w:rPr>
        <w:t>根据招标结果，甲、乙双方就</w:t>
      </w:r>
      <w:r>
        <w:rPr>
          <w:rFonts w:hint="eastAsia" w:ascii="仿宋" w:hAnsi="仿宋" w:eastAsia="仿宋" w:cs="宋体"/>
          <w:color w:val="auto"/>
          <w:kern w:val="0"/>
          <w:sz w:val="24"/>
          <w:szCs w:val="24"/>
          <w:highlight w:val="none"/>
          <w:u w:val="single"/>
        </w:rPr>
        <w:t xml:space="preserve">  义乌市稠城街道社区卫生服务中心一般货物、服务类项目招标代理服务</w:t>
      </w:r>
      <w:r>
        <w:rPr>
          <w:rFonts w:hint="eastAsia" w:ascii="仿宋" w:hAnsi="仿宋" w:eastAsia="仿宋" w:cs="宋体"/>
          <w:color w:val="auto"/>
          <w:sz w:val="24"/>
          <w:szCs w:val="24"/>
          <w:highlight w:val="none"/>
        </w:rPr>
        <w:t>（项目编号：</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）采购等有关事宜，经充分协商，自愿签订协议条款如下，供双方共同遵守履行：</w:t>
      </w:r>
    </w:p>
    <w:p w14:paraId="49D35B1F">
      <w:pPr>
        <w:tabs>
          <w:tab w:val="left" w:pos="630"/>
        </w:tabs>
        <w:snapToGrid w:val="0"/>
        <w:spacing w:line="360" w:lineRule="auto"/>
        <w:rPr>
          <w:rFonts w:hint="eastAsia" w:ascii="仿宋" w:hAnsi="仿宋" w:eastAsia="仿宋" w:cs="宋体"/>
          <w:b/>
          <w:bCs/>
          <w:color w:val="auto"/>
          <w:sz w:val="24"/>
          <w:szCs w:val="24"/>
          <w:highlight w:val="none"/>
        </w:rPr>
      </w:pPr>
      <w:bookmarkStart w:id="8" w:name="_Toc229468719"/>
      <w:r>
        <w:rPr>
          <w:rFonts w:hint="eastAsia" w:ascii="仿宋" w:hAnsi="仿宋" w:eastAsia="仿宋" w:cs="宋体"/>
          <w:b/>
          <w:bCs/>
          <w:color w:val="auto"/>
          <w:sz w:val="24"/>
          <w:szCs w:val="24"/>
          <w:highlight w:val="none"/>
        </w:rPr>
        <w:t>一、甲方的权利和义务</w:t>
      </w:r>
      <w:bookmarkEnd w:id="8"/>
    </w:p>
    <w:p w14:paraId="5E41CE13">
      <w:pPr>
        <w:tabs>
          <w:tab w:val="left" w:pos="315"/>
        </w:tabs>
        <w:snapToGrid w:val="0"/>
        <w:spacing w:line="360" w:lineRule="auto"/>
        <w:rPr>
          <w:rFonts w:ascii="仿宋" w:hAnsi="仿宋" w:eastAsia="仿宋" w:cs="宋体"/>
          <w:color w:val="auto"/>
          <w:sz w:val="24"/>
          <w:szCs w:val="24"/>
          <w:highlight w:val="none"/>
        </w:rPr>
      </w:pPr>
      <w:bookmarkStart w:id="9" w:name="_Toc229468720"/>
      <w:r>
        <w:rPr>
          <w:rFonts w:hint="eastAsia" w:ascii="仿宋" w:hAnsi="仿宋" w:eastAsia="仿宋" w:cs="宋体"/>
          <w:color w:val="auto"/>
          <w:sz w:val="24"/>
          <w:szCs w:val="24"/>
          <w:highlight w:val="none"/>
        </w:rPr>
        <w:t xml:space="preserve">    1.甲方有权根据实际需要及乙方在投标文件和其他书面文件的承诺，确定最终招标代理及</w:t>
      </w:r>
      <w:r>
        <w:rPr>
          <w:rFonts w:hint="eastAsia" w:ascii="仿宋" w:hAnsi="仿宋" w:eastAsia="仿宋" w:cs="宋体"/>
          <w:color w:val="auto"/>
          <w:sz w:val="24"/>
          <w:szCs w:val="24"/>
          <w:highlight w:val="none"/>
          <w:lang w:eastAsia="zh-CN"/>
        </w:rPr>
        <w:t>造价</w:t>
      </w:r>
      <w:r>
        <w:rPr>
          <w:rFonts w:hint="eastAsia" w:ascii="仿宋" w:hAnsi="仿宋" w:eastAsia="仿宋" w:cs="宋体"/>
          <w:color w:val="auto"/>
          <w:sz w:val="24"/>
          <w:szCs w:val="24"/>
          <w:highlight w:val="none"/>
        </w:rPr>
        <w:t>咨询服务项目、数量、服务期限等内容。</w:t>
      </w:r>
    </w:p>
    <w:p w14:paraId="42A933A8">
      <w:pPr>
        <w:tabs>
          <w:tab w:val="left" w:pos="0"/>
          <w:tab w:val="left" w:pos="315"/>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14:paraId="495B413D">
      <w:pPr>
        <w:tabs>
          <w:tab w:val="left" w:pos="315"/>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14:paraId="00A5B3A6">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14:paraId="331B0E4D">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5.招标代理及造价咨询服务费由</w:t>
      </w:r>
      <w:r>
        <w:rPr>
          <w:rFonts w:hint="eastAsia" w:ascii="仿宋" w:hAnsi="仿宋" w:eastAsia="仿宋" w:cs="宋体"/>
          <w:b/>
          <w:bCs/>
          <w:color w:val="auto"/>
          <w:sz w:val="24"/>
          <w:szCs w:val="24"/>
          <w:highlight w:val="none"/>
        </w:rPr>
        <w:t>单个项目中标单位（或供应商）</w:t>
      </w:r>
      <w:r>
        <w:rPr>
          <w:rFonts w:hint="eastAsia" w:ascii="仿宋" w:hAnsi="仿宋" w:eastAsia="仿宋" w:cs="宋体"/>
          <w:color w:val="auto"/>
          <w:sz w:val="24"/>
          <w:szCs w:val="24"/>
          <w:highlight w:val="none"/>
        </w:rPr>
        <w:t>支付。</w:t>
      </w:r>
    </w:p>
    <w:p w14:paraId="3BC1E4BA">
      <w:pPr>
        <w:tabs>
          <w:tab w:val="left" w:pos="315"/>
        </w:tabs>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6.甲方保证依法履行本协议项下约定的全部义务。</w:t>
      </w:r>
    </w:p>
    <w:p w14:paraId="564BB2C5">
      <w:pPr>
        <w:tabs>
          <w:tab w:val="left" w:pos="315"/>
        </w:tabs>
        <w:snapToGrid w:val="0"/>
        <w:spacing w:line="360" w:lineRule="auto"/>
        <w:ind w:firstLine="480" w:firstLineChars="200"/>
        <w:rPr>
          <w:rFonts w:ascii="仿宋" w:hAnsi="仿宋" w:eastAsia="仿宋" w:cs="宋体"/>
          <w:color w:val="auto"/>
          <w:sz w:val="24"/>
          <w:szCs w:val="24"/>
          <w:highlight w:val="none"/>
        </w:rPr>
      </w:pPr>
    </w:p>
    <w:p w14:paraId="066405F4">
      <w:pPr>
        <w:tabs>
          <w:tab w:val="left" w:pos="630"/>
        </w:tabs>
        <w:snapToGrid w:val="0"/>
        <w:spacing w:line="360" w:lineRule="auto"/>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二、乙方的权利和义务</w:t>
      </w:r>
      <w:bookmarkEnd w:id="9"/>
    </w:p>
    <w:p w14:paraId="5A4BAD63">
      <w:pPr>
        <w:tabs>
          <w:tab w:val="left" w:pos="630"/>
        </w:tabs>
        <w:snapToGrid w:val="0"/>
        <w:spacing w:line="360" w:lineRule="auto"/>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 xml:space="preserve">    1.乙方为</w:t>
      </w:r>
      <w:r>
        <w:rPr>
          <w:rFonts w:hint="eastAsia" w:ascii="仿宋" w:hAnsi="仿宋" w:eastAsia="仿宋" w:cs="宋体"/>
          <w:color w:val="auto"/>
          <w:sz w:val="24"/>
          <w:szCs w:val="24"/>
          <w:highlight w:val="none"/>
          <w:lang w:eastAsia="zh-CN"/>
        </w:rPr>
        <w:t>义乌市稠城街道社区卫生服务中心</w:t>
      </w:r>
      <w:r>
        <w:rPr>
          <w:rFonts w:hint="eastAsia" w:ascii="仿宋" w:hAnsi="仿宋" w:eastAsia="仿宋" w:cs="宋体"/>
          <w:color w:val="auto"/>
          <w:sz w:val="24"/>
          <w:szCs w:val="24"/>
          <w:highlight w:val="none"/>
        </w:rPr>
        <w:t>所需的</w:t>
      </w:r>
      <w:r>
        <w:rPr>
          <w:rFonts w:hint="eastAsia" w:ascii="仿宋" w:hAnsi="仿宋" w:eastAsia="仿宋" w:cs="宋体"/>
          <w:color w:val="auto"/>
          <w:sz w:val="24"/>
          <w:szCs w:val="24"/>
          <w:highlight w:val="none"/>
          <w:lang w:eastAsia="zh-CN"/>
        </w:rPr>
        <w:t>一般</w:t>
      </w:r>
      <w:r>
        <w:rPr>
          <w:rFonts w:hint="eastAsia" w:ascii="仿宋" w:hAnsi="仿宋" w:eastAsia="仿宋" w:cs="宋体"/>
          <w:color w:val="auto"/>
          <w:sz w:val="24"/>
          <w:szCs w:val="24"/>
          <w:highlight w:val="none"/>
        </w:rPr>
        <w:t>货物、服务项目提供招标代理服务。</w:t>
      </w:r>
      <w:r>
        <w:rPr>
          <w:rFonts w:hint="eastAsia" w:ascii="仿宋" w:hAnsi="仿宋" w:eastAsia="仿宋" w:cs="宋体"/>
          <w:color w:val="auto"/>
          <w:sz w:val="24"/>
          <w:szCs w:val="24"/>
          <w:highlight w:val="none"/>
          <w:lang w:val="en-US" w:eastAsia="zh-CN"/>
        </w:rPr>
        <w:t xml:space="preserve"> </w:t>
      </w:r>
    </w:p>
    <w:p w14:paraId="333BAE4F">
      <w:pPr>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乙方提供的服务均须符合国家标准和招标文件要求，乙方保证依据招标文件要求和投标文件的承诺，及时向甲方各部门提供高质量的服务，且不在本协议和招投标文件内容之外提出任何附加条款；若实际存在任何附加或额外条款，无论签署的情形如何，均应当被视为无效。</w:t>
      </w:r>
    </w:p>
    <w:p w14:paraId="369712AC">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3.乙方违反招投标文件、本协议以及其他书面承诺，均应依法承担违约责任。</w:t>
      </w:r>
    </w:p>
    <w:p w14:paraId="1E102CB8">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4.乙方在委托采购代理的范围内按法律法规处理一切事务，对甲方提出的采购内容及技术需求等</w:t>
      </w:r>
      <w:r>
        <w:rPr>
          <w:rFonts w:hint="eastAsia" w:ascii="仿宋" w:hAnsi="仿宋" w:eastAsia="仿宋" w:cs="宋体"/>
          <w:color w:val="auto"/>
          <w:sz w:val="24"/>
          <w:szCs w:val="24"/>
          <w:highlight w:val="none"/>
          <w:lang w:eastAsia="zh-CN"/>
        </w:rPr>
        <w:t>，具</w:t>
      </w:r>
      <w:r>
        <w:rPr>
          <w:rFonts w:hint="eastAsia" w:ascii="仿宋" w:hAnsi="仿宋" w:eastAsia="仿宋" w:cs="宋体"/>
          <w:color w:val="auto"/>
          <w:sz w:val="24"/>
          <w:szCs w:val="24"/>
          <w:highlight w:val="none"/>
        </w:rPr>
        <w:t>有依法审查的义务，并对其招标采购代理事项的合法性负责。</w:t>
      </w:r>
    </w:p>
    <w:p w14:paraId="4257EEA7">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5.乙方应按规定的程序和要求独立组织采购活动，接受甲方和有关部门的监督，自觉执行回避制度，遵守廉政规定和采购纪律，并承担保密责任。</w:t>
      </w:r>
    </w:p>
    <w:p w14:paraId="2E12CC32">
      <w:pPr>
        <w:spacing w:line="360" w:lineRule="auto"/>
        <w:ind w:right="82" w:rightChars="3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6.乙方保证严格遵守甲方的采购程序等相关规定，保证不会将协议及其中的权利、义务转让，保证不会转包、分包，否则甲方有权解除本协议并上报上级采购监管部门。</w:t>
      </w:r>
    </w:p>
    <w:p w14:paraId="426E5AB4">
      <w:pPr>
        <w:spacing w:line="360" w:lineRule="auto"/>
        <w:ind w:right="82" w:rightChars="39"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接受甲方、甲方主管部门和其他有关部门的监督管理，履行</w:t>
      </w:r>
      <w:r>
        <w:rPr>
          <w:rFonts w:hint="eastAsia" w:ascii="仿宋" w:hAnsi="仿宋" w:eastAsia="仿宋" w:cs="宋体"/>
          <w:color w:val="auto"/>
          <w:sz w:val="24"/>
          <w:szCs w:val="24"/>
          <w:highlight w:val="none"/>
          <w:lang w:eastAsia="zh-CN"/>
        </w:rPr>
        <w:t>法律法规</w:t>
      </w:r>
      <w:r>
        <w:rPr>
          <w:rFonts w:hint="eastAsia" w:ascii="仿宋" w:hAnsi="仿宋" w:eastAsia="仿宋" w:cs="宋体"/>
          <w:color w:val="auto"/>
          <w:sz w:val="24"/>
          <w:szCs w:val="24"/>
          <w:highlight w:val="none"/>
        </w:rPr>
        <w:t xml:space="preserve">、规章之规定，确保招标项目合法、合规，并承担全部责任。 </w:t>
      </w:r>
      <w:bookmarkStart w:id="10" w:name="_Toc229468721"/>
    </w:p>
    <w:p w14:paraId="1099FA4C">
      <w:pPr>
        <w:tabs>
          <w:tab w:val="left" w:pos="630"/>
        </w:tabs>
        <w:snapToGrid w:val="0"/>
        <w:spacing w:line="360" w:lineRule="auto"/>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三、违约处理</w:t>
      </w:r>
      <w:bookmarkEnd w:id="10"/>
    </w:p>
    <w:p w14:paraId="1CAD5491">
      <w:pPr>
        <w:tabs>
          <w:tab w:val="left" w:pos="630"/>
        </w:tabs>
        <w:snapToGrid w:val="0"/>
        <w:spacing w:line="360" w:lineRule="auto"/>
        <w:ind w:firstLine="477" w:firstLineChars="19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不履行或逾期履行本协议规定的义务，甲方有权视情节予以催告、督促履行、停付或拒付价款，暂停其招标采购代理资格或解除本协议，同时有权要求乙方支付违约金或赔偿甲方因乙方违约行为造成的实际经济损失。</w:t>
      </w:r>
    </w:p>
    <w:p w14:paraId="3E834F4A">
      <w:pPr>
        <w:tabs>
          <w:tab w:val="left" w:pos="630"/>
        </w:tabs>
        <w:snapToGrid w:val="0"/>
        <w:spacing w:line="360" w:lineRule="auto"/>
        <w:ind w:firstLine="477" w:firstLineChars="199"/>
        <w:rPr>
          <w:rFonts w:ascii="仿宋" w:hAnsi="仿宋" w:eastAsia="仿宋" w:cs="宋体"/>
          <w:color w:val="auto"/>
          <w:sz w:val="24"/>
          <w:szCs w:val="24"/>
          <w:highlight w:val="none"/>
        </w:rPr>
      </w:pPr>
    </w:p>
    <w:p w14:paraId="441C4B26">
      <w:pPr>
        <w:tabs>
          <w:tab w:val="left" w:pos="630"/>
        </w:tabs>
        <w:snapToGrid w:val="0"/>
        <w:spacing w:line="360" w:lineRule="auto"/>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四、双方共同责任</w:t>
      </w:r>
    </w:p>
    <w:p w14:paraId="348FC70C">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1.在招标采购活动进行过程中和招标采购活动完成后，甲乙双方均有责任对应当保密的事项保密。</w:t>
      </w:r>
    </w:p>
    <w:p w14:paraId="52103237">
      <w:pPr>
        <w:tabs>
          <w:tab w:val="left" w:pos="630"/>
        </w:tabs>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2.非甲乙双方原因造成招标采购项目失败的，甲乙双方有责任共同继续完成本次招标采购项目。</w:t>
      </w:r>
    </w:p>
    <w:p w14:paraId="71536A87">
      <w:pPr>
        <w:tabs>
          <w:tab w:val="left" w:pos="630"/>
        </w:tabs>
        <w:snapToGrid w:val="0"/>
        <w:spacing w:line="360" w:lineRule="auto"/>
        <w:rPr>
          <w:rFonts w:ascii="仿宋" w:hAnsi="仿宋" w:eastAsia="仿宋" w:cs="宋体"/>
          <w:color w:val="auto"/>
          <w:sz w:val="24"/>
          <w:szCs w:val="24"/>
          <w:highlight w:val="none"/>
        </w:rPr>
      </w:pPr>
    </w:p>
    <w:p w14:paraId="1A55DFAF">
      <w:pPr>
        <w:tabs>
          <w:tab w:val="left" w:pos="630"/>
        </w:tabs>
        <w:snapToGrid w:val="0"/>
        <w:spacing w:line="360" w:lineRule="auto"/>
        <w:rPr>
          <w:rFonts w:hint="eastAsia" w:ascii="仿宋" w:hAnsi="仿宋" w:eastAsia="仿宋" w:cs="宋体"/>
          <w:b/>
          <w:bCs/>
          <w:color w:val="auto"/>
          <w:sz w:val="24"/>
          <w:szCs w:val="24"/>
          <w:highlight w:val="none"/>
        </w:rPr>
      </w:pPr>
      <w:bookmarkStart w:id="11" w:name="_Toc229468722"/>
      <w:r>
        <w:rPr>
          <w:rFonts w:hint="eastAsia" w:ascii="仿宋" w:hAnsi="仿宋" w:eastAsia="仿宋" w:cs="宋体"/>
          <w:b/>
          <w:bCs/>
          <w:color w:val="auto"/>
          <w:sz w:val="24"/>
          <w:szCs w:val="24"/>
          <w:highlight w:val="none"/>
        </w:rPr>
        <w:t>五、合同价款</w:t>
      </w:r>
    </w:p>
    <w:p w14:paraId="0494A30C">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委托招标代理服务费：按计价格</w:t>
      </w:r>
      <w:r>
        <w:rPr>
          <w:rFonts w:hint="eastAsia" w:ascii="仿宋" w:hAnsi="仿宋" w:eastAsia="仿宋" w:cs="宋体"/>
          <w:color w:val="auto"/>
          <w:sz w:val="24"/>
          <w:szCs w:val="24"/>
          <w:highlight w:val="none"/>
          <w:lang w:eastAsia="zh-CN"/>
        </w:rPr>
        <w:t>〔2002〕1980号</w:t>
      </w:r>
      <w:r>
        <w:rPr>
          <w:rFonts w:hint="eastAsia" w:ascii="仿宋" w:hAnsi="仿宋" w:eastAsia="仿宋" w:cs="宋体"/>
          <w:color w:val="auto"/>
          <w:sz w:val="24"/>
          <w:szCs w:val="24"/>
          <w:highlight w:val="none"/>
        </w:rPr>
        <w:t>文件的收费标准</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%计取。</w:t>
      </w:r>
    </w:p>
    <w:p w14:paraId="48D22FFD">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开标评标服务费，由【乙方】支付。</w:t>
      </w:r>
    </w:p>
    <w:p w14:paraId="602BEA83">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招标文件及相关资料成本费，由【乙方】收取。</w:t>
      </w:r>
    </w:p>
    <w:p w14:paraId="104E5DE5">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若在报纸上刊登招标公告的，其报纸公告刊登费由【甲方】支付。</w:t>
      </w:r>
    </w:p>
    <w:p w14:paraId="2AFB1506">
      <w:pPr>
        <w:keepNext w:val="0"/>
        <w:keepLines w:val="0"/>
        <w:pageBreakBefore w:val="0"/>
        <w:widowControl w:val="0"/>
        <w:tabs>
          <w:tab w:val="left" w:pos="630"/>
        </w:tabs>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5.其他</w:t>
      </w:r>
      <w:r>
        <w:rPr>
          <w:rFonts w:hint="eastAsia" w:ascii="仿宋" w:hAnsi="仿宋" w:eastAsia="仿宋" w:cs="宋体"/>
          <w:color w:val="auto"/>
          <w:sz w:val="24"/>
          <w:szCs w:val="24"/>
          <w:highlight w:val="none"/>
        </w:rPr>
        <w:t>：投标保证金由【乙方】收取保管。</w:t>
      </w:r>
    </w:p>
    <w:p w14:paraId="186B9AD5">
      <w:pPr>
        <w:tabs>
          <w:tab w:val="left" w:pos="630"/>
        </w:tabs>
        <w:snapToGrid w:val="0"/>
        <w:spacing w:line="360" w:lineRule="auto"/>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rPr>
        <w:t>六、</w:t>
      </w:r>
      <w:r>
        <w:rPr>
          <w:rFonts w:hint="eastAsia" w:ascii="仿宋" w:hAnsi="仿宋" w:eastAsia="仿宋" w:cs="宋体"/>
          <w:b/>
          <w:bCs/>
          <w:color w:val="auto"/>
          <w:sz w:val="24"/>
          <w:szCs w:val="24"/>
          <w:highlight w:val="none"/>
          <w:lang w:eastAsia="zh-CN"/>
        </w:rPr>
        <w:t>服务期限</w:t>
      </w:r>
    </w:p>
    <w:p w14:paraId="11DBC4A3">
      <w:pPr>
        <w:tabs>
          <w:tab w:val="left" w:pos="630"/>
        </w:tabs>
        <w:snapToGrid w:val="0"/>
        <w:spacing w:line="360" w:lineRule="auto"/>
        <w:ind w:firstLine="479" w:firstLineChars="199"/>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rPr>
        <w:t>本合同有效期</w:t>
      </w:r>
      <w:r>
        <w:rPr>
          <w:rFonts w:hint="eastAsia" w:ascii="仿宋" w:hAnsi="仿宋" w:eastAsia="仿宋" w:cs="宋体"/>
          <w:b/>
          <w:bCs/>
          <w:color w:val="auto"/>
          <w:sz w:val="24"/>
          <w:szCs w:val="24"/>
          <w:highlight w:val="none"/>
          <w:lang w:eastAsia="zh-CN"/>
        </w:rPr>
        <w:t>两</w:t>
      </w:r>
      <w:r>
        <w:rPr>
          <w:rFonts w:hint="eastAsia" w:ascii="仿宋" w:hAnsi="仿宋" w:eastAsia="仿宋" w:cs="宋体"/>
          <w:b/>
          <w:bCs/>
          <w:color w:val="auto"/>
          <w:sz w:val="24"/>
          <w:szCs w:val="24"/>
          <w:highlight w:val="none"/>
        </w:rPr>
        <w:t>年，</w:t>
      </w:r>
      <w:r>
        <w:rPr>
          <w:rFonts w:hint="eastAsia" w:ascii="仿宋" w:hAnsi="仿宋" w:eastAsia="仿宋" w:cs="宋体"/>
          <w:b w:val="0"/>
          <w:bCs w:val="0"/>
          <w:color w:val="auto"/>
          <w:sz w:val="24"/>
          <w:szCs w:val="24"/>
          <w:highlight w:val="none"/>
          <w:lang w:val="en-US" w:eastAsia="zh-CN"/>
        </w:rPr>
        <w:t>自</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年</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月</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日起至</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年</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月</w:t>
      </w:r>
      <w:r>
        <w:rPr>
          <w:rFonts w:hint="eastAsia" w:ascii="仿宋" w:hAnsi="仿宋" w:eastAsia="仿宋" w:cs="宋体"/>
          <w:b w:val="0"/>
          <w:bCs w:val="0"/>
          <w:color w:val="auto"/>
          <w:sz w:val="24"/>
          <w:szCs w:val="24"/>
          <w:highlight w:val="none"/>
          <w:u w:val="single"/>
          <w:lang w:val="en-US" w:eastAsia="zh-CN"/>
        </w:rPr>
        <w:t xml:space="preserve">    </w:t>
      </w:r>
      <w:r>
        <w:rPr>
          <w:rFonts w:hint="eastAsia" w:ascii="仿宋" w:hAnsi="仿宋" w:eastAsia="仿宋" w:cs="宋体"/>
          <w:b w:val="0"/>
          <w:bCs w:val="0"/>
          <w:color w:val="auto"/>
          <w:sz w:val="24"/>
          <w:szCs w:val="24"/>
          <w:highlight w:val="none"/>
          <w:lang w:val="en-US" w:eastAsia="zh-CN"/>
        </w:rPr>
        <w:t>日止</w:t>
      </w:r>
      <w:r>
        <w:rPr>
          <w:rFonts w:hint="eastAsia" w:ascii="仿宋" w:hAnsi="仿宋" w:eastAsia="仿宋" w:cs="宋体"/>
          <w:b/>
          <w:bCs/>
          <w:color w:val="auto"/>
          <w:sz w:val="24"/>
          <w:szCs w:val="24"/>
          <w:highlight w:val="none"/>
          <w:lang w:val="en-US" w:eastAsia="zh-CN"/>
        </w:rPr>
        <w:t>。</w:t>
      </w:r>
      <w:r>
        <w:rPr>
          <w:rFonts w:hint="eastAsia" w:ascii="仿宋" w:hAnsi="仿宋" w:eastAsia="仿宋" w:cs="宋体"/>
          <w:b/>
          <w:bCs/>
          <w:color w:val="auto"/>
          <w:sz w:val="24"/>
          <w:szCs w:val="24"/>
          <w:highlight w:val="none"/>
          <w:lang w:eastAsia="zh-CN"/>
        </w:rPr>
        <w:t>服务期限满一年，由甲方进行考核，考核</w:t>
      </w:r>
      <w:r>
        <w:rPr>
          <w:rFonts w:hint="eastAsia" w:ascii="仿宋" w:hAnsi="仿宋" w:eastAsia="仿宋" w:cs="宋体"/>
          <w:b/>
          <w:bCs/>
          <w:color w:val="auto"/>
          <w:sz w:val="24"/>
          <w:szCs w:val="24"/>
          <w:highlight w:val="none"/>
          <w:lang w:val="en-US" w:eastAsia="zh-CN"/>
        </w:rPr>
        <w:t>85分及以上为合格，若不合格甲方有权中断合同。（考核条款详见附件）</w:t>
      </w:r>
    </w:p>
    <w:p w14:paraId="2A43C04B">
      <w:pPr>
        <w:tabs>
          <w:tab w:val="left" w:pos="630"/>
        </w:tabs>
        <w:snapToGrid w:val="0"/>
        <w:spacing w:line="360" w:lineRule="auto"/>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七、合同</w:t>
      </w:r>
      <w:r>
        <w:rPr>
          <w:rFonts w:hint="eastAsia" w:ascii="仿宋" w:hAnsi="仿宋" w:eastAsia="仿宋" w:cs="宋体"/>
          <w:b/>
          <w:bCs/>
          <w:color w:val="auto"/>
          <w:sz w:val="24"/>
          <w:szCs w:val="24"/>
          <w:highlight w:val="none"/>
        </w:rPr>
        <w:t>组成部分</w:t>
      </w:r>
      <w:bookmarkEnd w:id="11"/>
    </w:p>
    <w:p w14:paraId="7C8D8470">
      <w:pPr>
        <w:tabs>
          <w:tab w:val="left" w:pos="630"/>
        </w:tabs>
        <w:snapToGrid w:val="0"/>
        <w:spacing w:line="360" w:lineRule="auto"/>
        <w:ind w:left="120" w:hanging="120" w:hangingChars="5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本</w:t>
      </w:r>
      <w:r>
        <w:rPr>
          <w:rFonts w:hint="eastAsia" w:ascii="仿宋" w:hAnsi="仿宋" w:eastAsia="仿宋" w:cs="宋体"/>
          <w:color w:val="auto"/>
          <w:sz w:val="24"/>
          <w:szCs w:val="24"/>
          <w:highlight w:val="none"/>
          <w:lang w:eastAsia="zh-CN"/>
        </w:rPr>
        <w:t>合同</w:t>
      </w:r>
    </w:p>
    <w:p w14:paraId="1EE0A5C8">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中标通知书</w:t>
      </w:r>
    </w:p>
    <w:p w14:paraId="5A8CC8A2">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投标文件</w:t>
      </w:r>
    </w:p>
    <w:p w14:paraId="1E78D7EC">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rPr>
        <w:t>招标文件</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含招标文件补充通知</w:t>
      </w:r>
      <w:r>
        <w:rPr>
          <w:rFonts w:hint="eastAsia" w:ascii="仿宋" w:hAnsi="仿宋" w:eastAsia="仿宋" w:cs="宋体"/>
          <w:color w:val="auto"/>
          <w:sz w:val="24"/>
          <w:szCs w:val="24"/>
          <w:highlight w:val="none"/>
          <w:lang w:eastAsia="zh-CN"/>
        </w:rPr>
        <w:t>）</w:t>
      </w:r>
    </w:p>
    <w:p w14:paraId="0F1E53CD">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5.其他</w:t>
      </w:r>
      <w:r>
        <w:rPr>
          <w:rFonts w:hint="eastAsia" w:ascii="仿宋" w:hAnsi="仿宋" w:eastAsia="仿宋" w:cs="宋体"/>
          <w:color w:val="auto"/>
          <w:sz w:val="24"/>
          <w:szCs w:val="24"/>
          <w:highlight w:val="none"/>
        </w:rPr>
        <w:t>补充协议</w:t>
      </w:r>
    </w:p>
    <w:p w14:paraId="60BECA2E">
      <w:pPr>
        <w:tabs>
          <w:tab w:val="left" w:pos="630"/>
        </w:tabs>
        <w:snapToGrid w:val="0"/>
        <w:spacing w:line="360" w:lineRule="auto"/>
        <w:rPr>
          <w:rFonts w:hint="eastAsia" w:ascii="仿宋" w:hAnsi="仿宋" w:eastAsia="仿宋" w:cs="宋体"/>
          <w:b/>
          <w:bCs/>
          <w:color w:val="auto"/>
          <w:sz w:val="24"/>
          <w:szCs w:val="24"/>
          <w:highlight w:val="none"/>
        </w:rPr>
      </w:pPr>
      <w:bookmarkStart w:id="12" w:name="_Toc229468723"/>
      <w:r>
        <w:rPr>
          <w:rFonts w:hint="eastAsia" w:ascii="仿宋" w:hAnsi="仿宋" w:eastAsia="仿宋" w:cs="宋体"/>
          <w:b/>
          <w:bCs/>
          <w:color w:val="auto"/>
          <w:sz w:val="24"/>
          <w:szCs w:val="24"/>
          <w:highlight w:val="none"/>
          <w:lang w:val="en-US" w:eastAsia="zh-CN"/>
        </w:rPr>
        <w:t>八、合同</w:t>
      </w:r>
      <w:r>
        <w:rPr>
          <w:rFonts w:hint="eastAsia" w:ascii="仿宋" w:hAnsi="仿宋" w:eastAsia="仿宋" w:cs="宋体"/>
          <w:b/>
          <w:bCs/>
          <w:color w:val="auto"/>
          <w:sz w:val="24"/>
          <w:szCs w:val="24"/>
          <w:highlight w:val="none"/>
        </w:rPr>
        <w:t>生效及其它</w:t>
      </w:r>
      <w:bookmarkEnd w:id="12"/>
    </w:p>
    <w:p w14:paraId="2D350BFA">
      <w:pPr>
        <w:tabs>
          <w:tab w:val="left" w:pos="0"/>
        </w:tabs>
        <w:wordWrap w:val="0"/>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rPr>
        <w:t>本协议自双方签字盖章之日起生效</w:t>
      </w:r>
      <w:r>
        <w:rPr>
          <w:rFonts w:hint="eastAsia" w:ascii="仿宋" w:hAnsi="仿宋" w:eastAsia="仿宋" w:cs="宋体"/>
          <w:color w:val="auto"/>
          <w:sz w:val="24"/>
          <w:szCs w:val="24"/>
          <w:highlight w:val="none"/>
          <w:lang w:eastAsia="zh-CN"/>
        </w:rPr>
        <w:t>。</w:t>
      </w:r>
    </w:p>
    <w:p w14:paraId="1113AB39">
      <w:pPr>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rPr>
        <w:t>本</w:t>
      </w:r>
      <w:r>
        <w:rPr>
          <w:rFonts w:hint="eastAsia" w:ascii="仿宋" w:hAnsi="仿宋" w:eastAsia="仿宋" w:cs="宋体"/>
          <w:color w:val="auto"/>
          <w:sz w:val="24"/>
          <w:szCs w:val="24"/>
          <w:highlight w:val="none"/>
          <w:lang w:eastAsia="zh-CN"/>
        </w:rPr>
        <w:t>合同</w:t>
      </w:r>
      <w:r>
        <w:rPr>
          <w:rFonts w:hint="eastAsia" w:ascii="仿宋" w:hAnsi="仿宋" w:eastAsia="仿宋" w:cs="宋体"/>
          <w:color w:val="auto"/>
          <w:sz w:val="24"/>
          <w:szCs w:val="24"/>
          <w:highlight w:val="none"/>
        </w:rPr>
        <w:t>一式4份</w:t>
      </w:r>
      <w:r>
        <w:rPr>
          <w:rFonts w:hint="eastAsia" w:ascii="仿宋" w:hAnsi="仿宋" w:eastAsia="仿宋" w:cs="宋体"/>
          <w:color w:val="auto"/>
          <w:sz w:val="24"/>
          <w:szCs w:val="24"/>
          <w:highlight w:val="none"/>
          <w:lang w:eastAsia="zh-CN"/>
        </w:rPr>
        <w:t>，甲乙双方各执贰份，均具有同等效力。</w:t>
      </w:r>
    </w:p>
    <w:p w14:paraId="41D2A494">
      <w:pPr>
        <w:tabs>
          <w:tab w:val="left" w:pos="420"/>
        </w:tabs>
        <w:snapToGrid w:val="0"/>
        <w:spacing w:line="360" w:lineRule="auto"/>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rPr>
        <w:t>本协议未尽事宜，甲乙双方应通过友好协商解决</w:t>
      </w:r>
      <w:r>
        <w:rPr>
          <w:rFonts w:hint="eastAsia" w:ascii="仿宋" w:hAnsi="仿宋" w:eastAsia="仿宋" w:cs="宋体"/>
          <w:color w:val="auto"/>
          <w:sz w:val="24"/>
          <w:szCs w:val="24"/>
          <w:highlight w:val="none"/>
          <w:lang w:eastAsia="zh-CN"/>
        </w:rPr>
        <w:t>。</w:t>
      </w:r>
    </w:p>
    <w:p w14:paraId="13ECEF2D">
      <w:pPr>
        <w:tabs>
          <w:tab w:val="left" w:pos="630"/>
        </w:tabs>
        <w:snapToGrid w:val="0"/>
        <w:spacing w:line="360" w:lineRule="auto"/>
        <w:rPr>
          <w:rFonts w:hint="eastAsia" w:ascii="仿宋" w:hAnsi="仿宋" w:eastAsia="仿宋" w:cs="宋体"/>
          <w:b/>
          <w:bCs/>
          <w:color w:val="auto"/>
          <w:sz w:val="24"/>
          <w:szCs w:val="24"/>
          <w:highlight w:val="none"/>
        </w:rPr>
      </w:pPr>
      <w:bookmarkStart w:id="13" w:name="_Toc229468724"/>
      <w:r>
        <w:rPr>
          <w:rFonts w:hint="eastAsia" w:ascii="仿宋" w:hAnsi="仿宋" w:eastAsia="仿宋" w:cs="宋体"/>
          <w:b/>
          <w:bCs/>
          <w:color w:val="auto"/>
          <w:sz w:val="24"/>
          <w:szCs w:val="24"/>
          <w:highlight w:val="none"/>
          <w:lang w:eastAsia="zh-CN"/>
        </w:rPr>
        <w:t>九</w:t>
      </w:r>
      <w:r>
        <w:rPr>
          <w:rFonts w:hint="eastAsia" w:ascii="仿宋" w:hAnsi="仿宋" w:eastAsia="仿宋" w:cs="宋体"/>
          <w:b/>
          <w:bCs/>
          <w:color w:val="auto"/>
          <w:sz w:val="24"/>
          <w:szCs w:val="24"/>
          <w:highlight w:val="none"/>
        </w:rPr>
        <w:t>、纠纷解决方式</w:t>
      </w:r>
      <w:bookmarkEnd w:id="13"/>
    </w:p>
    <w:p w14:paraId="2165B601">
      <w:pPr>
        <w:tabs>
          <w:tab w:val="left" w:pos="420"/>
        </w:tabs>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履行本协议发生的纠纷，由双方友好协商解决；协商不成，由甲方所在地</w:t>
      </w:r>
      <w:r>
        <w:rPr>
          <w:rFonts w:hint="eastAsia" w:ascii="仿宋" w:hAnsi="仿宋" w:eastAsia="仿宋" w:cs="宋体"/>
          <w:color w:val="auto"/>
          <w:sz w:val="24"/>
          <w:szCs w:val="24"/>
          <w:highlight w:val="none"/>
          <w:lang w:eastAsia="zh-CN"/>
        </w:rPr>
        <w:t>人民法院提起诉讼解决</w:t>
      </w:r>
      <w:r>
        <w:rPr>
          <w:rFonts w:hint="eastAsia" w:ascii="仿宋" w:hAnsi="仿宋" w:eastAsia="仿宋" w:cs="宋体"/>
          <w:color w:val="auto"/>
          <w:sz w:val="24"/>
          <w:szCs w:val="24"/>
          <w:highlight w:val="none"/>
        </w:rPr>
        <w:t>。</w:t>
      </w:r>
    </w:p>
    <w:p w14:paraId="2A316790">
      <w:pPr>
        <w:tabs>
          <w:tab w:val="left" w:pos="630"/>
          <w:tab w:val="left" w:pos="525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甲方（盖章）：                       乙方（盖章）： </w:t>
      </w:r>
    </w:p>
    <w:p w14:paraId="2C7DE209">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甲方代表（签字）：                   乙方代表（签字）：</w:t>
      </w:r>
    </w:p>
    <w:p w14:paraId="46329286">
      <w:pPr>
        <w:tabs>
          <w:tab w:val="left" w:pos="630"/>
          <w:tab w:val="left" w:pos="5040"/>
          <w:tab w:val="left" w:pos="5355"/>
        </w:tabs>
        <w:snapToGrid w:val="0"/>
        <w:spacing w:line="360" w:lineRule="auto"/>
        <w:ind w:left="4200" w:hanging="4200" w:hangingChars="17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地址：                              地址： </w:t>
      </w:r>
    </w:p>
    <w:p w14:paraId="49548C85">
      <w:pPr>
        <w:tabs>
          <w:tab w:val="left" w:pos="630"/>
        </w:tabs>
        <w:snapToGrid w:val="0"/>
        <w:spacing w:line="360" w:lineRule="auto"/>
        <w:ind w:left="120" w:hanging="120" w:hangingChars="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电话：                              电话：    </w:t>
      </w:r>
    </w:p>
    <w:p w14:paraId="161B437D">
      <w:pPr>
        <w:snapToGrid w:val="0"/>
        <w:spacing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签订时间：</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 xml:space="preserve">年      月      日       </w:t>
      </w:r>
    </w:p>
    <w:p w14:paraId="4777F83A">
      <w:pPr>
        <w:ind w:firstLine="482" w:firstLineChars="200"/>
        <w:jc w:val="left"/>
        <w:rPr>
          <w:rFonts w:hint="eastAsia" w:ascii="仿宋_GB2312" w:hAnsi="宋体" w:eastAsia="仿宋_GB2312"/>
          <w:b/>
          <w:color w:val="auto"/>
          <w:sz w:val="24"/>
          <w:highlight w:val="none"/>
        </w:rPr>
      </w:pPr>
    </w:p>
    <w:p w14:paraId="68C39727">
      <w:pPr>
        <w:ind w:firstLine="482" w:firstLineChars="200"/>
        <w:jc w:val="left"/>
        <w:rPr>
          <w:rFonts w:hint="eastAsia" w:ascii="仿宋_GB2312" w:hAnsi="宋体" w:eastAsia="仿宋_GB2312"/>
          <w:b/>
          <w:color w:val="auto"/>
          <w:sz w:val="24"/>
          <w:highlight w:val="none"/>
        </w:rPr>
      </w:pPr>
    </w:p>
    <w:p w14:paraId="385E940F">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6A3E06F9">
      <w:pPr>
        <w:ind w:firstLine="482" w:firstLineChars="200"/>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附件一</w:t>
      </w:r>
    </w:p>
    <w:p w14:paraId="3527C7B4">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招标代理服务考核表</w:t>
      </w:r>
    </w:p>
    <w:tbl>
      <w:tblPr>
        <w:tblStyle w:val="11"/>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430"/>
        <w:gridCol w:w="1290"/>
        <w:gridCol w:w="1433"/>
      </w:tblGrid>
      <w:tr w14:paraId="1705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330C4F3B">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4430" w:type="dxa"/>
          </w:tcPr>
          <w:p w14:paraId="6CF834F4">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考核内容</w:t>
            </w:r>
          </w:p>
        </w:tc>
        <w:tc>
          <w:tcPr>
            <w:tcW w:w="1290" w:type="dxa"/>
          </w:tcPr>
          <w:p w14:paraId="6AE538B0">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分值</w:t>
            </w:r>
          </w:p>
        </w:tc>
        <w:tc>
          <w:tcPr>
            <w:tcW w:w="1433" w:type="dxa"/>
          </w:tcPr>
          <w:p w14:paraId="1D985375">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打分</w:t>
            </w:r>
          </w:p>
        </w:tc>
      </w:tr>
      <w:tr w14:paraId="153D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72C02899">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1</w:t>
            </w:r>
          </w:p>
        </w:tc>
        <w:tc>
          <w:tcPr>
            <w:tcW w:w="4430" w:type="dxa"/>
          </w:tcPr>
          <w:p w14:paraId="6EF7D26A">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招标文件撰写规范和专业性</w:t>
            </w:r>
          </w:p>
        </w:tc>
        <w:tc>
          <w:tcPr>
            <w:tcW w:w="1290" w:type="dxa"/>
          </w:tcPr>
          <w:p w14:paraId="638653C1">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0</w:t>
            </w:r>
          </w:p>
        </w:tc>
        <w:tc>
          <w:tcPr>
            <w:tcW w:w="1433" w:type="dxa"/>
          </w:tcPr>
          <w:p w14:paraId="2BB2E0D4">
            <w:pPr>
              <w:jc w:val="center"/>
              <w:rPr>
                <w:rFonts w:ascii="仿宋_GB2312" w:hAnsi="宋体" w:eastAsia="仿宋_GB2312"/>
                <w:b/>
                <w:color w:val="auto"/>
                <w:sz w:val="24"/>
                <w:highlight w:val="none"/>
              </w:rPr>
            </w:pPr>
          </w:p>
        </w:tc>
      </w:tr>
      <w:tr w14:paraId="4E73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582ED7AC">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2</w:t>
            </w:r>
          </w:p>
        </w:tc>
        <w:tc>
          <w:tcPr>
            <w:tcW w:w="4430" w:type="dxa"/>
          </w:tcPr>
          <w:p w14:paraId="04692E42">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招标及中标公告内容完整性、及时性</w:t>
            </w:r>
          </w:p>
        </w:tc>
        <w:tc>
          <w:tcPr>
            <w:tcW w:w="1290" w:type="dxa"/>
          </w:tcPr>
          <w:p w14:paraId="6D0CF10A">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10</w:t>
            </w:r>
          </w:p>
        </w:tc>
        <w:tc>
          <w:tcPr>
            <w:tcW w:w="1433" w:type="dxa"/>
          </w:tcPr>
          <w:p w14:paraId="24876B94">
            <w:pPr>
              <w:jc w:val="center"/>
              <w:rPr>
                <w:rFonts w:ascii="仿宋_GB2312" w:hAnsi="宋体" w:eastAsia="仿宋_GB2312"/>
                <w:b/>
                <w:color w:val="auto"/>
                <w:sz w:val="24"/>
                <w:highlight w:val="none"/>
              </w:rPr>
            </w:pPr>
          </w:p>
        </w:tc>
      </w:tr>
      <w:tr w14:paraId="490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069A3E77">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3</w:t>
            </w:r>
          </w:p>
        </w:tc>
        <w:tc>
          <w:tcPr>
            <w:tcW w:w="4430" w:type="dxa"/>
          </w:tcPr>
          <w:p w14:paraId="6C6FE081">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招标代理活动各环节的规范性和专业性</w:t>
            </w:r>
          </w:p>
        </w:tc>
        <w:tc>
          <w:tcPr>
            <w:tcW w:w="1290" w:type="dxa"/>
          </w:tcPr>
          <w:p w14:paraId="246555B7">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2</w:t>
            </w:r>
            <w:r>
              <w:rPr>
                <w:rFonts w:hint="eastAsia" w:ascii="仿宋_GB2312" w:hAnsi="宋体" w:eastAsia="仿宋_GB2312"/>
                <w:b/>
                <w:color w:val="auto"/>
                <w:sz w:val="24"/>
                <w:highlight w:val="none"/>
              </w:rPr>
              <w:t>0</w:t>
            </w:r>
          </w:p>
        </w:tc>
        <w:tc>
          <w:tcPr>
            <w:tcW w:w="1433" w:type="dxa"/>
          </w:tcPr>
          <w:p w14:paraId="2F76C4C7">
            <w:pPr>
              <w:jc w:val="center"/>
              <w:rPr>
                <w:rFonts w:ascii="仿宋_GB2312" w:hAnsi="宋体" w:eastAsia="仿宋_GB2312"/>
                <w:b/>
                <w:color w:val="auto"/>
                <w:sz w:val="24"/>
                <w:highlight w:val="none"/>
              </w:rPr>
            </w:pPr>
          </w:p>
        </w:tc>
      </w:tr>
      <w:tr w14:paraId="1180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44" w:type="dxa"/>
          </w:tcPr>
          <w:p w14:paraId="16E79077">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4</w:t>
            </w:r>
          </w:p>
        </w:tc>
        <w:tc>
          <w:tcPr>
            <w:tcW w:w="4430" w:type="dxa"/>
          </w:tcPr>
          <w:p w14:paraId="22239874">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因招标代理原因引起的投诉量和影响</w:t>
            </w:r>
          </w:p>
        </w:tc>
        <w:tc>
          <w:tcPr>
            <w:tcW w:w="1290" w:type="dxa"/>
          </w:tcPr>
          <w:p w14:paraId="1B77F1E9">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20</w:t>
            </w:r>
          </w:p>
        </w:tc>
        <w:tc>
          <w:tcPr>
            <w:tcW w:w="1433" w:type="dxa"/>
          </w:tcPr>
          <w:p w14:paraId="4B53DE0F">
            <w:pPr>
              <w:jc w:val="center"/>
              <w:rPr>
                <w:rFonts w:ascii="仿宋_GB2312" w:hAnsi="宋体" w:eastAsia="仿宋_GB2312"/>
                <w:b/>
                <w:color w:val="auto"/>
                <w:sz w:val="24"/>
                <w:highlight w:val="none"/>
              </w:rPr>
            </w:pPr>
          </w:p>
        </w:tc>
      </w:tr>
      <w:tr w14:paraId="002F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44" w:type="dxa"/>
          </w:tcPr>
          <w:p w14:paraId="28F63B7E">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5</w:t>
            </w:r>
          </w:p>
        </w:tc>
        <w:tc>
          <w:tcPr>
            <w:tcW w:w="4430" w:type="dxa"/>
          </w:tcPr>
          <w:p w14:paraId="543B41C5">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投诉处理妥善性</w:t>
            </w:r>
          </w:p>
        </w:tc>
        <w:tc>
          <w:tcPr>
            <w:tcW w:w="1290" w:type="dxa"/>
          </w:tcPr>
          <w:p w14:paraId="2A28F6A9">
            <w:pPr>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lang w:val="en-US" w:eastAsia="zh-CN"/>
              </w:rPr>
              <w:t>2</w:t>
            </w:r>
            <w:r>
              <w:rPr>
                <w:rFonts w:hint="eastAsia" w:ascii="仿宋_GB2312" w:hAnsi="宋体" w:eastAsia="仿宋_GB2312"/>
                <w:b/>
                <w:color w:val="auto"/>
                <w:sz w:val="24"/>
                <w:highlight w:val="none"/>
              </w:rPr>
              <w:t>0</w:t>
            </w:r>
          </w:p>
        </w:tc>
        <w:tc>
          <w:tcPr>
            <w:tcW w:w="1433" w:type="dxa"/>
          </w:tcPr>
          <w:p w14:paraId="0F5CF2FD">
            <w:pPr>
              <w:jc w:val="center"/>
              <w:rPr>
                <w:rFonts w:ascii="仿宋_GB2312" w:hAnsi="宋体" w:eastAsia="仿宋_GB2312"/>
                <w:b/>
                <w:color w:val="auto"/>
                <w:sz w:val="24"/>
                <w:highlight w:val="none"/>
              </w:rPr>
            </w:pPr>
          </w:p>
        </w:tc>
      </w:tr>
    </w:tbl>
    <w:p w14:paraId="2B788DD4">
      <w:pPr>
        <w:snapToGrid w:val="0"/>
        <w:spacing w:line="360" w:lineRule="auto"/>
        <w:ind w:firstLine="480"/>
        <w:rPr>
          <w:rFonts w:hint="eastAsia" w:ascii="仿宋" w:hAnsi="仿宋" w:eastAsia="仿宋" w:cs="宋体"/>
          <w:color w:val="auto"/>
          <w:sz w:val="24"/>
          <w:szCs w:val="24"/>
          <w:highlight w:val="none"/>
        </w:rPr>
      </w:pPr>
    </w:p>
    <w:p w14:paraId="3B3ADE48">
      <w:bookmarkStart w:id="14" w:name="_GoBack"/>
      <w:bookmarkEnd w:id="14"/>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BD1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CB12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8CCB12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1D72">
    <w:pPr>
      <w:pStyle w:val="9"/>
      <w:rPr>
        <w:u w:val="single"/>
      </w:rPr>
    </w:pPr>
  </w:p>
  <w:p w14:paraId="634353DC">
    <w:pPr>
      <w:pStyle w:val="9"/>
      <w:rPr>
        <w:u w:val="single"/>
      </w:rPr>
    </w:pPr>
  </w:p>
  <w:p w14:paraId="687C3B9C">
    <w:pPr>
      <w:pStyle w:val="9"/>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B610B"/>
    <w:rsid w:val="694B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1"/>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4"/>
    </w:rPr>
  </w:style>
  <w:style w:type="paragraph" w:styleId="5">
    <w:name w:val="Body Text Indent"/>
    <w:basedOn w:val="1"/>
    <w:next w:val="1"/>
    <w:qFormat/>
    <w:uiPriority w:val="0"/>
    <w:pPr>
      <w:spacing w:line="200" w:lineRule="atLeast"/>
      <w:ind w:firstLine="301"/>
    </w:pPr>
    <w:rPr>
      <w:rFonts w:ascii="宋体" w:hAnsi="Courier New"/>
      <w:spacing w:val="-4"/>
      <w:sz w:val="18"/>
    </w:rPr>
  </w:style>
  <w:style w:type="paragraph" w:styleId="6">
    <w:name w:val="Plain Text"/>
    <w:basedOn w:val="1"/>
    <w:next w:val="1"/>
    <w:qFormat/>
    <w:uiPriority w:val="0"/>
    <w:rPr>
      <w:rFonts w:ascii="宋体" w:hAnsi="Courier New" w:cstheme="minorBidi"/>
      <w:szCs w:val="22"/>
    </w:rPr>
  </w:style>
  <w:style w:type="paragraph" w:styleId="7">
    <w:name w:val="Body Text Indent 2"/>
    <w:basedOn w:val="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2026-05-12T01:32:00Z</dcterms:created>
  <dc:creator>Naticao</dc:creator>
  <cp:lastModifiedBy>Naticao</cp:lastModifiedBy>
  <dcterms:modified xsi:type="dcterms:W3CDTF">2026-05-12T01:43:20Z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9156135FBD184D2A87480C1A52FEB60E_11</vt:lpwstr>
  </property>
  <property fmtid="{D5CDD505-2E9C-101B-9397-08002B2CF9AE}" pid="4" name="KSOTemplateDocerSaveRecord">
    <vt:lpwstr>eyJoZGlkIjoiM2FjOTc5NThhNmZlODdiZmRiNjZmYzFjODU3NTNiZmMiLCJ1c2VySWQiOiIxOTUxMjkxMDgifQ==</vt:lpwstr>
  </property>
</Properties>
</file>