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DF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：</w:t>
      </w:r>
    </w:p>
    <w:p w14:paraId="1F97E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义乌市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稠城街道社区卫生服务中心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医疗责任险、公众责任险附加电梯责任险赔付标准、要求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br w:type="textWrapping"/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</w:rPr>
        <w:t>一、医疗责任险赔付标准、要求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医务人员具有流动性，在年医务人员数量上下浮动不超过10%时，要求对保费以及案件赔付不产生影响。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eastAsia="zh-CN"/>
        </w:rPr>
        <w:t>医疗责任险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免赔额：每次赔偿金额的5%或1000元，以高者为准。</w:t>
      </w:r>
    </w:p>
    <w:p w14:paraId="4ACE841A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医疗责任累计赔偿限额为100万元，每次事故赔偿限额为100万元，其中每次事故每人赔偿限额为25万元，精神损害每人责任限额为7.5万元，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法律费用每次赔偿限额2.5万元，法律费用累计赔偿额为10万元。</w:t>
      </w:r>
    </w:p>
    <w:p w14:paraId="5F79756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二、公众责任险附加电梯责任险赔付标准、要求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</w:rPr>
        <w:t>1、累计最高赔偿限额80万元；每次事故最高赔偿限额80万元，每次事故每人人身意外伤害最高赔偿20万元（其中意外伤害医疗费用最高赔偿限额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万元），每次事故每人财产损失赔偿限额2万元。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、每次事故绝对免赔额为200元或损失金额的5%,两者以高者为准。</w:t>
      </w:r>
    </w:p>
    <w:p w14:paraId="5A5CEB30">
      <w:pPr>
        <w:pStyle w:val="7"/>
        <w:jc w:val="center"/>
        <w:rPr>
          <w:rFonts w:hint="eastAsia"/>
          <w:sz w:val="28"/>
          <w:szCs w:val="28"/>
          <w:lang w:val="en-US" w:eastAsia="zh-CN"/>
        </w:rPr>
      </w:pPr>
    </w:p>
    <w:p w14:paraId="234A6FEB">
      <w:pPr>
        <w:pStyle w:val="7"/>
        <w:jc w:val="center"/>
        <w:rPr>
          <w:rFonts w:hint="eastAsia"/>
          <w:sz w:val="28"/>
          <w:szCs w:val="28"/>
          <w:lang w:val="en-US" w:eastAsia="zh-CN"/>
        </w:rPr>
      </w:pPr>
    </w:p>
    <w:p w14:paraId="5978E403">
      <w:pPr>
        <w:pStyle w:val="7"/>
        <w:jc w:val="center"/>
        <w:rPr>
          <w:rFonts w:hint="eastAsia"/>
          <w:sz w:val="28"/>
          <w:szCs w:val="28"/>
          <w:lang w:val="en-US" w:eastAsia="zh-CN"/>
        </w:rPr>
      </w:pPr>
    </w:p>
    <w:p w14:paraId="47EDF153">
      <w:pPr>
        <w:pStyle w:val="7"/>
        <w:jc w:val="center"/>
        <w:rPr>
          <w:rFonts w:hint="eastAsia"/>
          <w:sz w:val="28"/>
          <w:szCs w:val="28"/>
          <w:lang w:val="en-US" w:eastAsia="zh-CN"/>
        </w:rPr>
      </w:pPr>
    </w:p>
    <w:p w14:paraId="5C2284CF">
      <w:pPr>
        <w:pStyle w:val="7"/>
        <w:jc w:val="center"/>
        <w:rPr>
          <w:rFonts w:hint="eastAsia"/>
          <w:sz w:val="28"/>
          <w:szCs w:val="28"/>
          <w:lang w:val="en-US" w:eastAsia="zh-CN"/>
        </w:rPr>
      </w:pPr>
    </w:p>
    <w:p w14:paraId="57B5DF69">
      <w:pPr>
        <w:pStyle w:val="7"/>
        <w:jc w:val="center"/>
        <w:rPr>
          <w:rFonts w:hint="eastAsia"/>
          <w:sz w:val="28"/>
          <w:szCs w:val="28"/>
          <w:lang w:val="en-US" w:eastAsia="zh-CN"/>
        </w:rPr>
      </w:pPr>
    </w:p>
    <w:p w14:paraId="273EBE66">
      <w:pPr>
        <w:pStyle w:val="7"/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年度考核表</w:t>
      </w:r>
    </w:p>
    <w:tbl>
      <w:tblPr>
        <w:tblStyle w:val="5"/>
        <w:tblW w:w="4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8"/>
        <w:gridCol w:w="678"/>
        <w:gridCol w:w="1480"/>
        <w:gridCol w:w="2794"/>
        <w:gridCol w:w="688"/>
        <w:gridCol w:w="1345"/>
      </w:tblGrid>
      <w:tr w14:paraId="3BD7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3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22ECA">
            <w:pPr>
              <w:pStyle w:val="7"/>
            </w:pPr>
            <w:r>
              <w:t>考核维度</w:t>
            </w:r>
          </w:p>
        </w:tc>
        <w:tc>
          <w:tcPr>
            <w:tcW w:w="40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8E26C">
            <w:pPr>
              <w:pStyle w:val="7"/>
            </w:pPr>
            <w:r>
              <w:t>分值</w:t>
            </w:r>
          </w:p>
        </w:tc>
        <w:tc>
          <w:tcPr>
            <w:tcW w:w="87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BD73D">
            <w:pPr>
              <w:pStyle w:val="7"/>
            </w:pPr>
            <w:r>
              <w:t>考核指标</w:t>
            </w:r>
          </w:p>
        </w:tc>
        <w:tc>
          <w:tcPr>
            <w:tcW w:w="165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79610">
            <w:pPr>
              <w:pStyle w:val="7"/>
            </w:pPr>
            <w:r>
              <w:t>评分标准</w:t>
            </w: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7745D">
            <w:pPr>
              <w:pStyle w:val="7"/>
            </w:pPr>
            <w:r>
              <w:t>得分</w:t>
            </w:r>
          </w:p>
        </w:tc>
        <w:tc>
          <w:tcPr>
            <w:tcW w:w="79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8AFD2">
            <w:pPr>
              <w:pStyle w:val="7"/>
            </w:pPr>
            <w:r>
              <w:t>备注/扣分原因</w:t>
            </w:r>
          </w:p>
        </w:tc>
      </w:tr>
      <w:tr w14:paraId="2558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3" w:type="pct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B1B35">
            <w:pPr>
              <w:pStyle w:val="7"/>
            </w:pPr>
            <w:r>
              <w:t>理赔服务能力（40分）</w:t>
            </w:r>
          </w:p>
        </w:tc>
        <w:tc>
          <w:tcPr>
            <w:tcW w:w="40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BF526">
            <w:pPr>
              <w:pStyle w:val="7"/>
            </w:pPr>
            <w:r>
              <w:t>15</w:t>
            </w:r>
          </w:p>
        </w:tc>
        <w:tc>
          <w:tcPr>
            <w:tcW w:w="87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5DAC6">
            <w:pPr>
              <w:pStyle w:val="7"/>
            </w:pPr>
            <w:r>
              <w:t>出险响应时效</w:t>
            </w:r>
          </w:p>
        </w:tc>
        <w:tc>
          <w:tcPr>
            <w:tcW w:w="165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F034B">
            <w:pPr>
              <w:pStyle w:val="7"/>
            </w:pPr>
            <w:r>
              <w:t>30分钟专人对接、2小时到场12-15分；30分-2小时响应7-11分；超2小时0-6分</w:t>
            </w: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D2C18">
            <w:pPr>
              <w:pStyle w:val="7"/>
            </w:pPr>
          </w:p>
        </w:tc>
        <w:tc>
          <w:tcPr>
            <w:tcW w:w="79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FFC8E">
            <w:pPr>
              <w:pStyle w:val="7"/>
            </w:pPr>
          </w:p>
        </w:tc>
      </w:tr>
      <w:tr w14:paraId="730F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3" w:type="pct"/>
            <w:vMerge w:val="continue"/>
            <w:tcBorders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2FF43D">
            <w:pPr>
              <w:pStyle w:val="7"/>
            </w:pPr>
          </w:p>
        </w:tc>
        <w:tc>
          <w:tcPr>
            <w:tcW w:w="40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E13CD">
            <w:pPr>
              <w:pStyle w:val="7"/>
            </w:pPr>
            <w:r>
              <w:t>15</w:t>
            </w:r>
          </w:p>
        </w:tc>
        <w:tc>
          <w:tcPr>
            <w:tcW w:w="87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20989">
            <w:pPr>
              <w:pStyle w:val="7"/>
            </w:pPr>
            <w:r>
              <w:t>案件赔付时效</w:t>
            </w:r>
          </w:p>
        </w:tc>
        <w:tc>
          <w:tcPr>
            <w:tcW w:w="165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49088">
            <w:pPr>
              <w:pStyle w:val="7"/>
            </w:pPr>
            <w:r>
              <w:t>资料齐全15工作日内结案12-15分；15-30工作日7-11分；超30工作日0-6分</w:t>
            </w: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DA5A0">
            <w:pPr>
              <w:pStyle w:val="7"/>
            </w:pPr>
          </w:p>
        </w:tc>
        <w:tc>
          <w:tcPr>
            <w:tcW w:w="79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CE7CA">
            <w:pPr>
              <w:pStyle w:val="7"/>
            </w:pPr>
          </w:p>
        </w:tc>
      </w:tr>
      <w:tr w14:paraId="7073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3" w:type="pct"/>
            <w:vMerge w:val="continue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0A057">
            <w:pPr>
              <w:pStyle w:val="7"/>
            </w:pPr>
          </w:p>
        </w:tc>
        <w:tc>
          <w:tcPr>
            <w:tcW w:w="40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6B071">
            <w:pPr>
              <w:pStyle w:val="7"/>
            </w:pPr>
            <w:r>
              <w:t>10</w:t>
            </w:r>
          </w:p>
        </w:tc>
        <w:tc>
          <w:tcPr>
            <w:tcW w:w="87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2FB3B">
            <w:pPr>
              <w:pStyle w:val="7"/>
            </w:pPr>
            <w:r>
              <w:t>理赔投诉争议</w:t>
            </w:r>
          </w:p>
        </w:tc>
        <w:tc>
          <w:tcPr>
            <w:tcW w:w="165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46A25">
            <w:pPr>
              <w:pStyle w:val="7"/>
            </w:pPr>
            <w:r>
              <w:t>无投诉无诉讼10分；1起有效投诉整改扣3分；2起及以上/舆情诉讼0分</w:t>
            </w: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9DC26">
            <w:pPr>
              <w:pStyle w:val="7"/>
            </w:pPr>
          </w:p>
        </w:tc>
        <w:tc>
          <w:tcPr>
            <w:tcW w:w="79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F37A5">
            <w:pPr>
              <w:pStyle w:val="7"/>
            </w:pPr>
          </w:p>
        </w:tc>
      </w:tr>
      <w:tr w14:paraId="2B43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3" w:type="pct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D019F">
            <w:pPr>
              <w:pStyle w:val="7"/>
            </w:pPr>
            <w:r>
              <w:t>赔付保障与承保政策（20分）</w:t>
            </w:r>
          </w:p>
        </w:tc>
        <w:tc>
          <w:tcPr>
            <w:tcW w:w="40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E966B">
            <w:pPr>
              <w:pStyle w:val="7"/>
            </w:pPr>
            <w:r>
              <w:t>10</w:t>
            </w:r>
          </w:p>
        </w:tc>
        <w:tc>
          <w:tcPr>
            <w:tcW w:w="87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788B5">
            <w:pPr>
              <w:pStyle w:val="7"/>
            </w:pPr>
            <w:r>
              <w:t>赔付兑现率</w:t>
            </w:r>
          </w:p>
        </w:tc>
        <w:tc>
          <w:tcPr>
            <w:tcW w:w="165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C13DD">
            <w:pPr>
              <w:pStyle w:val="7"/>
            </w:pPr>
            <w:r>
              <w:t>合规案件足额赔付10分；无故减赔1起扣5分；恶意拒赔推诿0分</w:t>
            </w: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3614F">
            <w:pPr>
              <w:pStyle w:val="7"/>
            </w:pPr>
          </w:p>
        </w:tc>
        <w:tc>
          <w:tcPr>
            <w:tcW w:w="79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C9784">
            <w:pPr>
              <w:pStyle w:val="7"/>
            </w:pPr>
          </w:p>
        </w:tc>
      </w:tr>
      <w:tr w14:paraId="7CDA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3" w:type="pct"/>
            <w:vMerge w:val="continue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9A401">
            <w:pPr>
              <w:pStyle w:val="7"/>
            </w:pPr>
          </w:p>
        </w:tc>
        <w:tc>
          <w:tcPr>
            <w:tcW w:w="40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34B6E">
            <w:pPr>
              <w:pStyle w:val="7"/>
            </w:pPr>
            <w:r>
              <w:t>10</w:t>
            </w:r>
          </w:p>
        </w:tc>
        <w:tc>
          <w:tcPr>
            <w:tcW w:w="87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6151F">
            <w:pPr>
              <w:pStyle w:val="7"/>
            </w:pPr>
            <w:r>
              <w:t>承保条款保障</w:t>
            </w:r>
          </w:p>
        </w:tc>
        <w:tc>
          <w:tcPr>
            <w:tcW w:w="165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0A483">
            <w:pPr>
              <w:pStyle w:val="7"/>
            </w:pPr>
            <w:r>
              <w:t>保障全面免责合理8-10分；小幅缩保4-7分；保障大幅缩水0-3分</w:t>
            </w: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35051">
            <w:pPr>
              <w:pStyle w:val="7"/>
            </w:pPr>
          </w:p>
        </w:tc>
        <w:tc>
          <w:tcPr>
            <w:tcW w:w="79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B113E">
            <w:pPr>
              <w:pStyle w:val="7"/>
            </w:pPr>
          </w:p>
        </w:tc>
      </w:tr>
      <w:tr w14:paraId="4A78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3" w:type="pct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0538C">
            <w:pPr>
              <w:pStyle w:val="7"/>
            </w:pPr>
            <w:r>
              <w:t>风控增值服务（15分）</w:t>
            </w:r>
          </w:p>
        </w:tc>
        <w:tc>
          <w:tcPr>
            <w:tcW w:w="40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D4E62">
            <w:pPr>
              <w:pStyle w:val="7"/>
            </w:pPr>
            <w:r>
              <w:t>6</w:t>
            </w:r>
          </w:p>
        </w:tc>
        <w:tc>
          <w:tcPr>
            <w:tcW w:w="87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B7093">
            <w:pPr>
              <w:pStyle w:val="7"/>
            </w:pPr>
            <w:r>
              <w:t>医疗风险培训</w:t>
            </w:r>
          </w:p>
        </w:tc>
        <w:tc>
          <w:tcPr>
            <w:tcW w:w="165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45884">
            <w:pPr>
              <w:pStyle w:val="7"/>
            </w:pPr>
            <w:r>
              <w:t>年度≥</w:t>
            </w:r>
            <w:r>
              <w:rPr>
                <w:rFonts w:hint="eastAsia"/>
                <w:lang w:val="en-US" w:eastAsia="zh-CN"/>
              </w:rPr>
              <w:t>1</w:t>
            </w:r>
            <w:r>
              <w:t>次培训6分；无培训0分</w:t>
            </w: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E0C7F">
            <w:pPr>
              <w:pStyle w:val="7"/>
            </w:pPr>
          </w:p>
        </w:tc>
        <w:tc>
          <w:tcPr>
            <w:tcW w:w="79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7D771">
            <w:pPr>
              <w:pStyle w:val="7"/>
            </w:pPr>
          </w:p>
        </w:tc>
      </w:tr>
      <w:tr w14:paraId="1FEA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3" w:type="pct"/>
            <w:vMerge w:val="continue"/>
            <w:tcBorders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F3256">
            <w:pPr>
              <w:pStyle w:val="7"/>
            </w:pPr>
          </w:p>
        </w:tc>
        <w:tc>
          <w:tcPr>
            <w:tcW w:w="40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8F64D">
            <w:pPr>
              <w:pStyle w:val="7"/>
            </w:pPr>
            <w:r>
              <w:t>5</w:t>
            </w:r>
          </w:p>
        </w:tc>
        <w:tc>
          <w:tcPr>
            <w:tcW w:w="87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D7309">
            <w:pPr>
              <w:pStyle w:val="7"/>
            </w:pPr>
            <w:r>
              <w:t>纠纷调解支持</w:t>
            </w:r>
          </w:p>
        </w:tc>
        <w:tc>
          <w:tcPr>
            <w:tcW w:w="165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F4F42">
            <w:pPr>
              <w:pStyle w:val="7"/>
            </w:pPr>
            <w:r>
              <w:t>专员现场调解5分；仅电话指导2分；不参与推诿0分</w:t>
            </w: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012C8">
            <w:pPr>
              <w:pStyle w:val="7"/>
            </w:pPr>
          </w:p>
        </w:tc>
        <w:tc>
          <w:tcPr>
            <w:tcW w:w="79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25EC5">
            <w:pPr>
              <w:pStyle w:val="7"/>
            </w:pPr>
          </w:p>
        </w:tc>
      </w:tr>
      <w:tr w14:paraId="5F1E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3" w:type="pct"/>
            <w:vMerge w:val="continue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2439B">
            <w:pPr>
              <w:pStyle w:val="7"/>
            </w:pPr>
          </w:p>
        </w:tc>
        <w:tc>
          <w:tcPr>
            <w:tcW w:w="40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33261">
            <w:pPr>
              <w:pStyle w:val="7"/>
            </w:pPr>
            <w:r>
              <w:t>4</w:t>
            </w:r>
          </w:p>
        </w:tc>
        <w:tc>
          <w:tcPr>
            <w:tcW w:w="87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55E71">
            <w:pPr>
              <w:pStyle w:val="7"/>
            </w:pPr>
            <w:r>
              <w:t>院内风险巡检</w:t>
            </w:r>
          </w:p>
        </w:tc>
        <w:tc>
          <w:tcPr>
            <w:tcW w:w="165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1CC82">
            <w:pPr>
              <w:pStyle w:val="7"/>
            </w:pPr>
            <w:r>
              <w:t>年度1次巡检并出整改建议4分；无巡检0分</w:t>
            </w: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52A25">
            <w:pPr>
              <w:pStyle w:val="7"/>
            </w:pPr>
          </w:p>
        </w:tc>
        <w:tc>
          <w:tcPr>
            <w:tcW w:w="79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9581E">
            <w:pPr>
              <w:pStyle w:val="7"/>
            </w:pPr>
          </w:p>
        </w:tc>
      </w:tr>
      <w:tr w14:paraId="17A1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3" w:type="pct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78F6B">
            <w:pPr>
              <w:pStyle w:val="7"/>
            </w:pPr>
            <w:r>
              <w:t>价格续保合规（10分）</w:t>
            </w:r>
          </w:p>
        </w:tc>
        <w:tc>
          <w:tcPr>
            <w:tcW w:w="40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6E109">
            <w:pPr>
              <w:pStyle w:val="7"/>
            </w:pPr>
            <w:r>
              <w:t>6</w:t>
            </w:r>
          </w:p>
        </w:tc>
        <w:tc>
          <w:tcPr>
            <w:tcW w:w="87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801DC">
            <w:pPr>
              <w:pStyle w:val="7"/>
            </w:pPr>
            <w:r>
              <w:t>续保保费涨幅</w:t>
            </w:r>
          </w:p>
        </w:tc>
        <w:tc>
          <w:tcPr>
            <w:tcW w:w="165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4C91A">
            <w:pPr>
              <w:pStyle w:val="7"/>
            </w:pPr>
            <w:r>
              <w:t>不涨/涨幅≤5%得5-6分；5%-10%得2-4分；无故超10%得0-1分</w:t>
            </w: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07C92">
            <w:pPr>
              <w:pStyle w:val="7"/>
            </w:pPr>
          </w:p>
        </w:tc>
        <w:tc>
          <w:tcPr>
            <w:tcW w:w="79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1BEA1">
            <w:pPr>
              <w:pStyle w:val="7"/>
            </w:pPr>
          </w:p>
        </w:tc>
      </w:tr>
      <w:tr w14:paraId="128E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3" w:type="pct"/>
            <w:vMerge w:val="continue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4CF9C">
            <w:pPr>
              <w:pStyle w:val="7"/>
            </w:pPr>
          </w:p>
        </w:tc>
        <w:tc>
          <w:tcPr>
            <w:tcW w:w="40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D668D">
            <w:pPr>
              <w:pStyle w:val="7"/>
            </w:pPr>
            <w:r>
              <w:t>4</w:t>
            </w:r>
          </w:p>
        </w:tc>
        <w:tc>
          <w:tcPr>
            <w:tcW w:w="87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D7D1E">
            <w:pPr>
              <w:pStyle w:val="7"/>
            </w:pPr>
            <w:r>
              <w:t>报价透明合规</w:t>
            </w:r>
          </w:p>
        </w:tc>
        <w:tc>
          <w:tcPr>
            <w:tcW w:w="165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12A08">
            <w:pPr>
              <w:pStyle w:val="7"/>
            </w:pPr>
            <w:r>
              <w:t>费率限额清晰无隐形收费4分；条款模糊加价0分</w:t>
            </w: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F5DA8">
            <w:pPr>
              <w:pStyle w:val="7"/>
            </w:pPr>
          </w:p>
        </w:tc>
        <w:tc>
          <w:tcPr>
            <w:tcW w:w="79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E71FF">
            <w:pPr>
              <w:pStyle w:val="7"/>
            </w:pPr>
          </w:p>
        </w:tc>
      </w:tr>
      <w:tr w14:paraId="357E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3" w:type="pct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EF1BD">
            <w:pPr>
              <w:pStyle w:val="7"/>
            </w:pPr>
            <w:r>
              <w:t>日常服务履约（10分）</w:t>
            </w:r>
          </w:p>
        </w:tc>
        <w:tc>
          <w:tcPr>
            <w:tcW w:w="40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6B534">
            <w:pPr>
              <w:pStyle w:val="7"/>
            </w:pPr>
            <w:r>
              <w:t>5</w:t>
            </w:r>
          </w:p>
        </w:tc>
        <w:tc>
          <w:tcPr>
            <w:tcW w:w="87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A3741">
            <w:pPr>
              <w:pStyle w:val="7"/>
            </w:pPr>
            <w:r>
              <w:t>专属对接值守</w:t>
            </w:r>
          </w:p>
        </w:tc>
        <w:tc>
          <w:tcPr>
            <w:tcW w:w="165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EBB61">
            <w:pPr>
              <w:pStyle w:val="7"/>
            </w:pPr>
            <w:r>
              <w:t>固定专人+7×24热线畅通5分；人员常更换2-3分；无对接人0-1分</w:t>
            </w: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FF482">
            <w:pPr>
              <w:pStyle w:val="7"/>
            </w:pPr>
          </w:p>
        </w:tc>
        <w:tc>
          <w:tcPr>
            <w:tcW w:w="79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C13A8">
            <w:pPr>
              <w:pStyle w:val="7"/>
            </w:pPr>
          </w:p>
        </w:tc>
      </w:tr>
      <w:tr w14:paraId="0EAB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3" w:type="pct"/>
            <w:vMerge w:val="continue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3B45B">
            <w:pPr>
              <w:pStyle w:val="7"/>
            </w:pPr>
          </w:p>
        </w:tc>
        <w:tc>
          <w:tcPr>
            <w:tcW w:w="40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17DD4">
            <w:pPr>
              <w:pStyle w:val="7"/>
            </w:pPr>
            <w:r>
              <w:t>5</w:t>
            </w:r>
          </w:p>
        </w:tc>
        <w:tc>
          <w:tcPr>
            <w:tcW w:w="87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1DB0A">
            <w:pPr>
              <w:pStyle w:val="7"/>
            </w:pPr>
            <w:r>
              <w:t>资料报送配合</w:t>
            </w:r>
          </w:p>
        </w:tc>
        <w:tc>
          <w:tcPr>
            <w:tcW w:w="165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99662">
            <w:pPr>
              <w:pStyle w:val="7"/>
            </w:pPr>
            <w:r>
              <w:t>按时报送台账年报5分；多次催促拖延0-3分</w:t>
            </w: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5D1E6">
            <w:pPr>
              <w:pStyle w:val="7"/>
            </w:pPr>
          </w:p>
        </w:tc>
        <w:tc>
          <w:tcPr>
            <w:tcW w:w="79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55F963">
            <w:pPr>
              <w:pStyle w:val="7"/>
            </w:pPr>
          </w:p>
        </w:tc>
      </w:tr>
      <w:tr w14:paraId="63ABE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3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9B646">
            <w:pPr>
              <w:pStyle w:val="7"/>
            </w:pPr>
            <w:r>
              <w:t>信用合规履约（5分）</w:t>
            </w:r>
          </w:p>
        </w:tc>
        <w:tc>
          <w:tcPr>
            <w:tcW w:w="40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23B12">
            <w:pPr>
              <w:pStyle w:val="7"/>
            </w:pPr>
            <w:r>
              <w:t>5</w:t>
            </w:r>
          </w:p>
        </w:tc>
        <w:tc>
          <w:tcPr>
            <w:tcW w:w="87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0DDDE">
            <w:pPr>
              <w:pStyle w:val="7"/>
            </w:pPr>
            <w:r>
              <w:t>合规信用记录</w:t>
            </w:r>
          </w:p>
        </w:tc>
        <w:tc>
          <w:tcPr>
            <w:tcW w:w="165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60CE5">
            <w:pPr>
              <w:pStyle w:val="7"/>
            </w:pPr>
            <w:r>
              <w:t>无处罚无违约无失信5分；有处罚/违约/失信0分</w:t>
            </w: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8E8CA">
            <w:pPr>
              <w:pStyle w:val="7"/>
            </w:pPr>
          </w:p>
        </w:tc>
        <w:tc>
          <w:tcPr>
            <w:tcW w:w="79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DF682">
            <w:pPr>
              <w:pStyle w:val="7"/>
            </w:pPr>
          </w:p>
        </w:tc>
      </w:tr>
      <w:tr w14:paraId="7714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3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CF26B">
            <w:pPr>
              <w:pStyle w:val="7"/>
            </w:pPr>
            <w:r>
              <w:rPr>
                <w:b/>
                <w:bCs/>
              </w:rPr>
              <w:t>合计</w:t>
            </w:r>
          </w:p>
        </w:tc>
        <w:tc>
          <w:tcPr>
            <w:tcW w:w="40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E44EA">
            <w:pPr>
              <w:pStyle w:val="7"/>
            </w:pPr>
            <w:r>
              <w:rPr>
                <w:b/>
                <w:bCs/>
              </w:rPr>
              <w:t>100</w:t>
            </w:r>
          </w:p>
        </w:tc>
        <w:tc>
          <w:tcPr>
            <w:tcW w:w="87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3647F">
            <w:pPr>
              <w:pStyle w:val="7"/>
            </w:pPr>
            <w:r>
              <w:t>总分汇总</w:t>
            </w:r>
          </w:p>
        </w:tc>
        <w:tc>
          <w:tcPr>
            <w:tcW w:w="1650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7DBAF">
            <w:pPr>
              <w:pStyle w:val="7"/>
            </w:pPr>
          </w:p>
        </w:tc>
        <w:tc>
          <w:tcPr>
            <w:tcW w:w="406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11625">
            <w:pPr>
              <w:pStyle w:val="7"/>
            </w:pPr>
          </w:p>
        </w:tc>
        <w:tc>
          <w:tcPr>
            <w:tcW w:w="794" w:type="pc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E3DF8">
            <w:pPr>
              <w:pStyle w:val="7"/>
            </w:pPr>
          </w:p>
        </w:tc>
      </w:tr>
    </w:tbl>
    <w:p w14:paraId="4C571306">
      <w:pPr>
        <w:pStyle w:val="2"/>
      </w:pPr>
      <w:r>
        <w:t>一票否决项（任意一条直接不予续签）</w:t>
      </w:r>
    </w:p>
    <w:p w14:paraId="2E405E4F">
      <w:pPr>
        <w:pStyle w:val="7"/>
        <w:numPr>
          <w:ilvl w:val="0"/>
          <w:numId w:val="2"/>
        </w:numPr>
      </w:pPr>
      <w:r>
        <w:t>恶意拒赔、拖延赔付引发重大医患纠纷或舆情</w:t>
      </w:r>
    </w:p>
    <w:p w14:paraId="00000391">
      <w:pPr>
        <w:pStyle w:val="7"/>
        <w:numPr>
          <w:ilvl w:val="0"/>
          <w:numId w:val="2"/>
        </w:numPr>
      </w:pPr>
      <w:r>
        <w:t>服务失职造成医院重大经济损失且拒不担责</w:t>
      </w:r>
    </w:p>
    <w:p w14:paraId="17E7CE81">
      <w:pPr>
        <w:pStyle w:val="7"/>
        <w:numPr>
          <w:ilvl w:val="0"/>
          <w:numId w:val="2"/>
        </w:numPr>
      </w:pPr>
      <w:r>
        <w:t>监管立案处罚、经营异常、停业整顿</w:t>
      </w:r>
    </w:p>
    <w:p w14:paraId="11328681">
      <w:pPr>
        <w:pStyle w:val="7"/>
        <w:numPr>
          <w:ilvl w:val="0"/>
          <w:numId w:val="2"/>
        </w:numPr>
      </w:pPr>
      <w:r>
        <w:t>泄露医院及患者敏感信息</w:t>
      </w:r>
    </w:p>
    <w:p w14:paraId="45AC8A19">
      <w:pPr>
        <w:pStyle w:val="7"/>
        <w:numPr>
          <w:ilvl w:val="0"/>
          <w:numId w:val="2"/>
        </w:numPr>
      </w:pPr>
      <w:r>
        <w:t>存在商业贿赂、违规返点等违规行为</w:t>
      </w:r>
    </w:p>
    <w:p w14:paraId="7A02E7CF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1">
    <w:nsid w:val="558837C1"/>
    <w:multiLevelType w:val="singleLevel"/>
    <w:tmpl w:val="558837C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F5FBC"/>
    <w:rsid w:val="1DAE380C"/>
    <w:rsid w:val="68B52B2D"/>
    <w:rsid w:val="6B6F5FBC"/>
    <w:rsid w:val="6DC4180E"/>
    <w:rsid w:val="744E47C9"/>
    <w:rsid w:val="76D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"/>
    <w:basedOn w:val="3"/>
    <w:next w:val="1"/>
    <w:qFormat/>
    <w:uiPriority w:val="0"/>
    <w:pPr>
      <w:tabs>
        <w:tab w:val="left" w:pos="208"/>
      </w:tabs>
      <w:ind w:firstLine="420" w:firstLineChars="100"/>
    </w:p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964</Words>
  <Characters>1061</Characters>
  <Lines>0</Lines>
  <Paragraphs>0</Paragraphs>
  <TotalTime>0</TotalTime>
  <ScaleCrop>false</ScaleCrop>
  <LinksUpToDate>false</LinksUpToDate>
  <CharactersWithSpaces>1063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2026-04-16T02:25:00Z</dcterms:created>
  <dc:creator>中情局CIA</dc:creator>
  <cp:lastModifiedBy>Naticao</cp:lastModifiedBy>
  <dcterms:modified xsi:type="dcterms:W3CDTF">2026-05-07T08:46:31Z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CACA58BFBE3E44A7A6403342C5AC5AC6_11</vt:lpwstr>
  </property>
  <property fmtid="{D5CDD505-2E9C-101B-9397-08002B2CF9AE}" pid="4" name="KSOTemplateDocerSaveRecord">
    <vt:lpwstr>eyJoZGlkIjoiM2FjOTc5NThhNmZlODdiZmRiNjZmYzFjODU3NTNiZmMiLCJ1c2VySWQiOiIxOTUxMjkxMDgifQ==</vt:lpwstr>
  </property>
</Properties>
</file>