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2026年检验试剂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公告（一）第二次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一批检验试剂进行遴选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233B2622">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检验试剂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（一）</w:t>
      </w:r>
      <w:r>
        <w:rPr>
          <w:rFonts w:hint="eastAsia" w:ascii="宋体" w:hAnsi="宋体" w:eastAsia="宋体" w:cs="Arial"/>
          <w:kern w:val="2"/>
          <w:sz w:val="24"/>
          <w:szCs w:val="24"/>
          <w:highlight w:val="none"/>
          <w:lang w:val="en-US" w:eastAsia="zh-CN" w:bidi="ar-SA"/>
        </w:rPr>
        <w:t>，</w:t>
      </w:r>
      <w:r>
        <w:rPr>
          <w:rFonts w:hint="eastAsia" w:ascii="宋体" w:hAnsi="宋体" w:cs="Arial"/>
          <w:kern w:val="2"/>
          <w:sz w:val="24"/>
          <w:szCs w:val="24"/>
          <w:highlight w:val="none"/>
          <w:lang w:val="en-US" w:eastAsia="zh-CN" w:bidi="ar-SA"/>
        </w:rPr>
        <w:t>首次挂网期间部分标段不满足开标条件，现进行第二次公开挂网，已报名供应商无需再次报名。</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共8</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471199CF">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1）项目一览表</w:t>
      </w:r>
    </w:p>
    <w:tbl>
      <w:tblPr>
        <w:tblStyle w:val="10"/>
        <w:tblpPr w:leftFromText="180" w:rightFromText="180" w:vertAnchor="text" w:horzAnchor="page" w:tblpX="576" w:tblpY="1035"/>
        <w:tblOverlap w:val="never"/>
        <w:tblW w:w="65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9"/>
        <w:gridCol w:w="1601"/>
        <w:gridCol w:w="1722"/>
        <w:gridCol w:w="1245"/>
        <w:gridCol w:w="3051"/>
        <w:gridCol w:w="1176"/>
        <w:gridCol w:w="1483"/>
      </w:tblGrid>
      <w:tr w14:paraId="472E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60" w:type="pct"/>
            <w:shd w:val="clear" w:color="auto" w:fill="auto"/>
            <w:vAlign w:val="center"/>
          </w:tcPr>
          <w:p w14:paraId="64B13E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序号</w:t>
            </w:r>
          </w:p>
        </w:tc>
        <w:tc>
          <w:tcPr>
            <w:tcW w:w="722"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777"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561"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377"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要求及</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530"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预算/元</w:t>
            </w:r>
          </w:p>
        </w:tc>
        <w:tc>
          <w:tcPr>
            <w:tcW w:w="669" w:type="pct"/>
            <w:shd w:val="clear" w:color="auto" w:fill="auto"/>
            <w:vAlign w:val="center"/>
          </w:tcPr>
          <w:p w14:paraId="1A83469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备注</w:t>
            </w:r>
          </w:p>
        </w:tc>
      </w:tr>
      <w:tr w14:paraId="4805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1" w:hRule="atLeast"/>
        </w:trPr>
        <w:tc>
          <w:tcPr>
            <w:tcW w:w="360" w:type="pct"/>
            <w:vMerge w:val="restart"/>
            <w:shd w:val="clear" w:color="auto" w:fill="auto"/>
            <w:vAlign w:val="center"/>
          </w:tcPr>
          <w:p w14:paraId="7C214726">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03C6432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抗RA33抗体IgG检测试剂盒（磁微粒化学发光法）</w:t>
            </w:r>
          </w:p>
        </w:tc>
        <w:tc>
          <w:tcPr>
            <w:tcW w:w="777"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65AF4DD6">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p w14:paraId="3A70F8B6">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default" w:ascii="宋体" w:hAnsi="宋体" w:cs="宋体"/>
                <w:i w:val="0"/>
                <w:iCs w:val="0"/>
                <w:color w:val="000000"/>
                <w:kern w:val="0"/>
                <w:sz w:val="20"/>
                <w:szCs w:val="20"/>
                <w:u w:val="none"/>
                <w:lang w:val="en-US" w:eastAsia="zh-CN" w:bidi="ar"/>
              </w:rPr>
              <w:t>用途:抗RA33 抗体是诊断类风湿性关节炎（RA）较为特异的抗体，适用于早期RA 的筛查，。</w:t>
            </w:r>
          </w:p>
        </w:tc>
        <w:tc>
          <w:tcPr>
            <w:tcW w:w="530"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1972</w:t>
            </w:r>
          </w:p>
        </w:tc>
        <w:tc>
          <w:tcPr>
            <w:tcW w:w="669" w:type="pct"/>
            <w:vMerge w:val="restart"/>
            <w:shd w:val="clear" w:color="auto" w:fill="auto"/>
            <w:vAlign w:val="center"/>
          </w:tcPr>
          <w:p w14:paraId="4236A7B0">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403FF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3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5" w:hRule="atLeast"/>
        </w:trPr>
        <w:tc>
          <w:tcPr>
            <w:tcW w:w="360" w:type="pct"/>
            <w:vMerge w:val="continue"/>
            <w:shd w:val="clear" w:color="auto" w:fill="auto"/>
            <w:vAlign w:val="center"/>
          </w:tcPr>
          <w:p w14:paraId="7537A725">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73AA018C">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抗突变型瓜氨酸波形蛋白（MCV）抗体检测试剂盒（磁微粒化学发光法）</w:t>
            </w:r>
          </w:p>
        </w:tc>
        <w:tc>
          <w:tcPr>
            <w:tcW w:w="777"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76A2249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tc>
        <w:tc>
          <w:tcPr>
            <w:tcW w:w="530"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669" w:type="pct"/>
            <w:vMerge w:val="continue"/>
            <w:shd w:val="clear" w:color="auto" w:fill="auto"/>
            <w:vAlign w:val="center"/>
          </w:tcPr>
          <w:p w14:paraId="02A74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88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60" w:type="pct"/>
            <w:vMerge w:val="continue"/>
            <w:shd w:val="clear" w:color="auto" w:fill="auto"/>
            <w:vAlign w:val="center"/>
          </w:tcPr>
          <w:p w14:paraId="662252BA">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662CC46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基质金属蛋白酶3（MMP-3）检测试剂盒（磁微粒化学发光法）</w:t>
            </w:r>
          </w:p>
        </w:tc>
        <w:tc>
          <w:tcPr>
            <w:tcW w:w="777"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24DA7D65">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tc>
        <w:tc>
          <w:tcPr>
            <w:tcW w:w="530"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669" w:type="pct"/>
            <w:vMerge w:val="continue"/>
            <w:shd w:val="clear" w:color="auto" w:fill="auto"/>
            <w:vAlign w:val="center"/>
          </w:tcPr>
          <w:p w14:paraId="3110B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50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8" w:hRule="atLeast"/>
        </w:trPr>
        <w:tc>
          <w:tcPr>
            <w:tcW w:w="360" w:type="pct"/>
            <w:vMerge w:val="continue"/>
            <w:shd w:val="clear" w:color="auto" w:fill="auto"/>
            <w:vAlign w:val="center"/>
          </w:tcPr>
          <w:p w14:paraId="58FA0392">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6887E7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抗内皮细胞抗体IgG检测试剂盒（磁微粒化学发光法)</w:t>
            </w:r>
          </w:p>
        </w:tc>
        <w:tc>
          <w:tcPr>
            <w:tcW w:w="777" w:type="pct"/>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3A616E25">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抗内皮细胞抗体IgG检测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适应症：临床上主要用于原发性、继发性自身免疫性血管炎、特发性肾脏血管炎， SLE、APS、RA相关性血管炎、混合性结缔组织病及原发性干燥综合征的辅助诊断。</w:t>
            </w:r>
          </w:p>
        </w:tc>
        <w:tc>
          <w:tcPr>
            <w:tcW w:w="530"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2784</w:t>
            </w:r>
          </w:p>
        </w:tc>
        <w:tc>
          <w:tcPr>
            <w:tcW w:w="669" w:type="pct"/>
            <w:shd w:val="clear" w:color="auto" w:fill="auto"/>
            <w:vAlign w:val="center"/>
          </w:tcPr>
          <w:p w14:paraId="5694FD8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54467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00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8" w:hRule="atLeast"/>
        </w:trPr>
        <w:tc>
          <w:tcPr>
            <w:tcW w:w="360" w:type="pct"/>
            <w:vMerge w:val="restart"/>
            <w:shd w:val="clear" w:color="auto" w:fill="auto"/>
            <w:vAlign w:val="center"/>
          </w:tcPr>
          <w:p w14:paraId="06384CD7">
            <w:pPr>
              <w:keepNext w:val="0"/>
              <w:keepLines w:val="0"/>
              <w:widowControl/>
              <w:suppressLineNumbers w:val="0"/>
              <w:ind w:left="425" w:leftChars="0" w:hanging="425"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722" w:type="pct"/>
            <w:shd w:val="clear" w:color="auto" w:fill="auto"/>
            <w:vAlign w:val="center"/>
          </w:tcPr>
          <w:p w14:paraId="5B7C09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触珠蛋白</w:t>
            </w:r>
          </w:p>
        </w:tc>
        <w:tc>
          <w:tcPr>
            <w:tcW w:w="777" w:type="pct"/>
            <w:shd w:val="clear" w:color="auto" w:fill="auto"/>
            <w:vAlign w:val="center"/>
          </w:tcPr>
          <w:p w14:paraId="5071A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466FA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0953DC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可用于诊断溶血性贫血、巨幼细胞性贫血，传染性单核细胞增多症，急、慢性感染，组织损伤，急、慢性肝细胞和结核病、风湿病及红斑狼疮等疾病</w:t>
            </w:r>
          </w:p>
        </w:tc>
        <w:tc>
          <w:tcPr>
            <w:tcW w:w="530" w:type="pct"/>
            <w:shd w:val="clear" w:color="auto" w:fill="auto"/>
            <w:vAlign w:val="center"/>
          </w:tcPr>
          <w:p w14:paraId="6B5C3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c>
          <w:tcPr>
            <w:tcW w:w="669" w:type="pct"/>
            <w:vMerge w:val="restart"/>
            <w:shd w:val="clear" w:color="auto" w:fill="auto"/>
            <w:vAlign w:val="center"/>
          </w:tcPr>
          <w:p w14:paraId="43B06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4"/>
                <w:szCs w:val="24"/>
                <w:lang w:val="en-US" w:eastAsia="zh-CN"/>
              </w:rPr>
              <w:t>适用我院</w:t>
            </w:r>
            <w:r>
              <w:rPr>
                <w:rFonts w:ascii="宋体" w:hAnsi="宋体" w:eastAsia="宋体" w:cs="宋体"/>
                <w:sz w:val="24"/>
                <w:szCs w:val="24"/>
              </w:rPr>
              <w:t>日立3500全自动生化分析仪</w:t>
            </w:r>
          </w:p>
        </w:tc>
      </w:tr>
      <w:tr w14:paraId="35E1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60" w:type="pct"/>
            <w:vMerge w:val="continue"/>
            <w:tcBorders/>
            <w:shd w:val="clear" w:color="auto" w:fill="auto"/>
            <w:vAlign w:val="center"/>
          </w:tcPr>
          <w:p w14:paraId="09A11A34">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57E227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游离轻链(K型、λ型)</w:t>
            </w:r>
          </w:p>
        </w:tc>
        <w:tc>
          <w:tcPr>
            <w:tcW w:w="777" w:type="pct"/>
            <w:shd w:val="clear" w:color="auto" w:fill="auto"/>
            <w:vAlign w:val="center"/>
          </w:tcPr>
          <w:p w14:paraId="56BCF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1C807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2A6195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用于相关肿瘤的辅助诊断、监测疗效及辅助以后的治疗计划。</w:t>
            </w:r>
          </w:p>
        </w:tc>
        <w:tc>
          <w:tcPr>
            <w:tcW w:w="530" w:type="pct"/>
            <w:shd w:val="clear" w:color="auto" w:fill="auto"/>
            <w:vAlign w:val="center"/>
          </w:tcPr>
          <w:p w14:paraId="071B7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c>
          <w:tcPr>
            <w:tcW w:w="669" w:type="pct"/>
            <w:vMerge w:val="continue"/>
            <w:tcBorders/>
            <w:shd w:val="clear" w:color="auto" w:fill="auto"/>
            <w:vAlign w:val="center"/>
          </w:tcPr>
          <w:p w14:paraId="4F3EF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2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60" w:type="pct"/>
            <w:shd w:val="clear" w:color="auto" w:fill="auto"/>
            <w:vAlign w:val="center"/>
          </w:tcPr>
          <w:p w14:paraId="4739AAC3">
            <w:pPr>
              <w:keepNext w:val="0"/>
              <w:keepLines w:val="0"/>
              <w:widowControl/>
              <w:numPr>
                <w:numId w:val="0"/>
              </w:numPr>
              <w:suppressLineNumbers w:val="0"/>
              <w:ind w:left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722" w:type="pct"/>
            <w:shd w:val="clear" w:color="auto" w:fill="auto"/>
            <w:vAlign w:val="center"/>
          </w:tcPr>
          <w:p w14:paraId="024C86ED">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博卡病毒核酸检测</w:t>
            </w:r>
          </w:p>
        </w:tc>
        <w:tc>
          <w:tcPr>
            <w:tcW w:w="777" w:type="pct"/>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1" w:type="pct"/>
            <w:shd w:val="clear" w:color="auto" w:fill="auto"/>
            <w:vAlign w:val="center"/>
          </w:tcPr>
          <w:p w14:paraId="6067D8D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人份</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0F99EF5B">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核酸提取、扩增试剂</w:t>
            </w:r>
          </w:p>
        </w:tc>
        <w:tc>
          <w:tcPr>
            <w:tcW w:w="530" w:type="pct"/>
            <w:shd w:val="clear" w:color="auto" w:fill="auto"/>
            <w:vAlign w:val="center"/>
          </w:tcPr>
          <w:p w14:paraId="6F92F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15元/人份</w:t>
            </w:r>
          </w:p>
        </w:tc>
        <w:tc>
          <w:tcPr>
            <w:tcW w:w="669" w:type="pct"/>
            <w:shd w:val="clear" w:color="auto" w:fill="auto"/>
            <w:vAlign w:val="center"/>
          </w:tcPr>
          <w:p w14:paraId="11CA5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1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60" w:type="pct"/>
            <w:shd w:val="clear" w:color="auto" w:fill="auto"/>
            <w:vAlign w:val="center"/>
          </w:tcPr>
          <w:p w14:paraId="08E0F1D3">
            <w:pPr>
              <w:keepNext w:val="0"/>
              <w:keepLines w:val="0"/>
              <w:widowControl/>
              <w:numPr>
                <w:numId w:val="0"/>
              </w:numPr>
              <w:suppressLineNumbers w:val="0"/>
              <w:ind w:left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722" w:type="pct"/>
            <w:shd w:val="clear" w:color="auto" w:fill="auto"/>
            <w:vAlign w:val="center"/>
          </w:tcPr>
          <w:p w14:paraId="3602D57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鼻病毒核酸检测</w:t>
            </w:r>
          </w:p>
        </w:tc>
        <w:tc>
          <w:tcPr>
            <w:tcW w:w="777"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61" w:type="pct"/>
            <w:shd w:val="clear" w:color="auto" w:fill="auto"/>
            <w:vAlign w:val="center"/>
          </w:tcPr>
          <w:p w14:paraId="703AAE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03B6356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核酸提取、扩增试剂</w:t>
            </w:r>
          </w:p>
        </w:tc>
        <w:tc>
          <w:tcPr>
            <w:tcW w:w="530" w:type="pct"/>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15元/人份</w:t>
            </w:r>
          </w:p>
        </w:tc>
        <w:tc>
          <w:tcPr>
            <w:tcW w:w="669" w:type="pct"/>
            <w:shd w:val="clear" w:color="auto" w:fill="auto"/>
            <w:vAlign w:val="center"/>
          </w:tcPr>
          <w:p w14:paraId="302DE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80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vMerge w:val="restart"/>
            <w:shd w:val="clear" w:color="auto" w:fill="auto"/>
            <w:vAlign w:val="center"/>
          </w:tcPr>
          <w:p w14:paraId="7B41935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bookmarkStart w:id="0" w:name="_GoBack"/>
            <w:bookmarkEnd w:id="0"/>
          </w:p>
        </w:tc>
        <w:tc>
          <w:tcPr>
            <w:tcW w:w="722" w:type="pct"/>
            <w:shd w:val="clear" w:color="auto" w:fill="auto"/>
            <w:vAlign w:val="center"/>
          </w:tcPr>
          <w:p w14:paraId="78D62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抗线粒体抗体IgAGM检测试剂盒(间接免疫荧光法)</w:t>
            </w:r>
          </w:p>
        </w:tc>
        <w:tc>
          <w:tcPr>
            <w:tcW w:w="777" w:type="pct"/>
            <w:shd w:val="clear" w:color="auto" w:fill="auto"/>
            <w:vAlign w:val="center"/>
          </w:tcPr>
          <w:p w14:paraId="07E55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w:t>
            </w:r>
          </w:p>
        </w:tc>
        <w:tc>
          <w:tcPr>
            <w:tcW w:w="561" w:type="pct"/>
            <w:shd w:val="clear" w:color="auto" w:fill="auto"/>
            <w:vAlign w:val="center"/>
          </w:tcPr>
          <w:p w14:paraId="6B037A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restart"/>
            <w:tcBorders>
              <w:top w:val="single" w:color="auto" w:sz="4" w:space="0"/>
              <w:left w:val="single" w:color="auto" w:sz="4" w:space="0"/>
              <w:right w:val="single" w:color="auto" w:sz="4" w:space="0"/>
            </w:tcBorders>
            <w:shd w:val="clear" w:color="auto" w:fill="auto"/>
            <w:vAlign w:val="center"/>
          </w:tcPr>
          <w:p w14:paraId="2F372A6E">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抗中性粒细胞胞浆抗体:抗中性粒细胞胞浆抗体pANCA抗体测定、抗中性粒细胞胞</w:t>
            </w:r>
            <w:r>
              <w:rPr>
                <w:rFonts w:hint="eastAsia" w:ascii="宋体" w:hAnsi="宋体" w:cs="宋体"/>
                <w:i w:val="0"/>
                <w:iCs w:val="0"/>
                <w:color w:val="000000"/>
                <w:kern w:val="0"/>
                <w:sz w:val="20"/>
                <w:szCs w:val="20"/>
                <w:u w:val="none"/>
                <w:lang w:val="en-US" w:eastAsia="zh-CN" w:bidi="ar"/>
              </w:rPr>
              <w:t>cANCA；</w:t>
            </w:r>
          </w:p>
          <w:p w14:paraId="624DAB57">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自身免疫性肝病抗体:抗平滑肌抗体测定(ASMA)、抗线粒体抗体测定(AMA)、抗线粒体抗体M2测定(AMA-M2)等</w:t>
            </w:r>
          </w:p>
          <w:p w14:paraId="1A990656">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抗核抗体谱(间接免疫荧光)基质片须提供猴肝基质辅助判读</w:t>
            </w:r>
          </w:p>
          <w:p w14:paraId="42FEFCFF">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抗中性粒细胞胞浆抗体(间接免疫荧光)同一基质片须提供乙醇和HEP-2+中性粒</w:t>
            </w:r>
            <w:r>
              <w:rPr>
                <w:rFonts w:hint="eastAsia" w:ascii="宋体" w:hAnsi="宋体" w:cs="宋体"/>
                <w:i w:val="0"/>
                <w:iCs w:val="0"/>
                <w:color w:val="000000"/>
                <w:kern w:val="0"/>
                <w:sz w:val="20"/>
                <w:szCs w:val="20"/>
                <w:u w:val="none"/>
                <w:lang w:val="en-US" w:eastAsia="zh-CN" w:bidi="ar"/>
              </w:rPr>
              <w:t>细胞的混合基质</w:t>
            </w:r>
          </w:p>
        </w:tc>
        <w:tc>
          <w:tcPr>
            <w:tcW w:w="530" w:type="pct"/>
            <w:shd w:val="clear" w:color="auto" w:fill="auto"/>
            <w:vAlign w:val="center"/>
          </w:tcPr>
          <w:p w14:paraId="4651A5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2049.42 </w:t>
            </w:r>
          </w:p>
        </w:tc>
        <w:tc>
          <w:tcPr>
            <w:tcW w:w="669" w:type="pct"/>
            <w:shd w:val="clear" w:color="auto" w:fill="auto"/>
            <w:vAlign w:val="center"/>
          </w:tcPr>
          <w:p w14:paraId="147FB1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5012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360" w:type="pct"/>
            <w:vMerge w:val="continue"/>
            <w:shd w:val="clear" w:color="auto" w:fill="auto"/>
            <w:vAlign w:val="center"/>
          </w:tcPr>
          <w:p w14:paraId="3AA46C4A">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6FF4D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抗线粒体抗体IgAGM检测试剂盒(间接免疫荧光法)  </w:t>
            </w:r>
          </w:p>
        </w:tc>
        <w:tc>
          <w:tcPr>
            <w:tcW w:w="777" w:type="pct"/>
            <w:shd w:val="clear" w:color="auto" w:fill="auto"/>
            <w:vAlign w:val="center"/>
          </w:tcPr>
          <w:p w14:paraId="73B09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561" w:type="pct"/>
            <w:shd w:val="clear" w:color="auto" w:fill="auto"/>
            <w:vAlign w:val="center"/>
          </w:tcPr>
          <w:p w14:paraId="159BD6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2E68904">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5C349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1024.71 </w:t>
            </w:r>
          </w:p>
        </w:tc>
        <w:tc>
          <w:tcPr>
            <w:tcW w:w="669" w:type="pct"/>
            <w:shd w:val="clear" w:color="auto" w:fill="auto"/>
            <w:vAlign w:val="center"/>
          </w:tcPr>
          <w:p w14:paraId="28FEE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vMerge w:val="continue"/>
            <w:shd w:val="clear" w:color="auto" w:fill="auto"/>
            <w:vAlign w:val="center"/>
          </w:tcPr>
          <w:p w14:paraId="2DFB0D0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41C3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D88A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10*10/盒</w:t>
            </w:r>
          </w:p>
        </w:tc>
        <w:tc>
          <w:tcPr>
            <w:tcW w:w="561" w:type="pct"/>
            <w:shd w:val="clear" w:color="auto" w:fill="auto"/>
            <w:vAlign w:val="center"/>
          </w:tcPr>
          <w:p w14:paraId="672B9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1109992F">
            <w:pPr>
              <w:keepNext w:val="0"/>
              <w:keepLines w:val="0"/>
              <w:widowControl/>
              <w:numPr>
                <w:ilvl w:val="0"/>
                <w:numId w:val="4"/>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08B1A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977.94 </w:t>
            </w:r>
          </w:p>
        </w:tc>
        <w:tc>
          <w:tcPr>
            <w:tcW w:w="669" w:type="pct"/>
            <w:shd w:val="clear" w:color="auto" w:fill="auto"/>
            <w:vAlign w:val="center"/>
          </w:tcPr>
          <w:p w14:paraId="7D423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vMerge w:val="continue"/>
            <w:shd w:val="clear" w:color="auto" w:fill="auto"/>
            <w:vAlign w:val="center"/>
          </w:tcPr>
          <w:p w14:paraId="45B017B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709F6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87C0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10*5/盒</w:t>
            </w:r>
          </w:p>
        </w:tc>
        <w:tc>
          <w:tcPr>
            <w:tcW w:w="561" w:type="pct"/>
            <w:shd w:val="clear" w:color="auto" w:fill="auto"/>
            <w:vAlign w:val="center"/>
          </w:tcPr>
          <w:p w14:paraId="55EBE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313C61BD">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0732E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651.96 </w:t>
            </w:r>
          </w:p>
        </w:tc>
        <w:tc>
          <w:tcPr>
            <w:tcW w:w="669" w:type="pct"/>
            <w:shd w:val="clear" w:color="auto" w:fill="auto"/>
            <w:vAlign w:val="center"/>
          </w:tcPr>
          <w:p w14:paraId="430CC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34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360" w:type="pct"/>
            <w:vMerge w:val="continue"/>
            <w:shd w:val="clear" w:color="auto" w:fill="auto"/>
            <w:vAlign w:val="center"/>
          </w:tcPr>
          <w:p w14:paraId="0B6113E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1BB5C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638C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w:t>
            </w:r>
          </w:p>
        </w:tc>
        <w:tc>
          <w:tcPr>
            <w:tcW w:w="561" w:type="pct"/>
            <w:shd w:val="clear" w:color="auto" w:fill="auto"/>
            <w:vAlign w:val="center"/>
          </w:tcPr>
          <w:p w14:paraId="5D4C525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0614D58">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1DAB1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2058.17 </w:t>
            </w:r>
          </w:p>
        </w:tc>
        <w:tc>
          <w:tcPr>
            <w:tcW w:w="669" w:type="pct"/>
            <w:shd w:val="clear" w:color="auto" w:fill="auto"/>
            <w:vAlign w:val="center"/>
          </w:tcPr>
          <w:p w14:paraId="35837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1E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6" w:hRule="atLeast"/>
        </w:trPr>
        <w:tc>
          <w:tcPr>
            <w:tcW w:w="360" w:type="pct"/>
            <w:vMerge w:val="continue"/>
            <w:shd w:val="clear" w:color="auto" w:fill="auto"/>
            <w:vAlign w:val="center"/>
          </w:tcPr>
          <w:p w14:paraId="456FA1FC">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26D3F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323A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50人份/盒</w:t>
            </w:r>
          </w:p>
        </w:tc>
        <w:tc>
          <w:tcPr>
            <w:tcW w:w="561" w:type="pct"/>
            <w:shd w:val="clear" w:color="auto" w:fill="auto"/>
            <w:vAlign w:val="center"/>
          </w:tcPr>
          <w:p w14:paraId="387D604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bottom w:val="single" w:color="auto" w:sz="4" w:space="0"/>
              <w:right w:val="single" w:color="auto" w:sz="4" w:space="0"/>
            </w:tcBorders>
            <w:shd w:val="clear" w:color="auto" w:fill="auto"/>
            <w:vAlign w:val="center"/>
          </w:tcPr>
          <w:p w14:paraId="281CACB2">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3717AB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1372.11 </w:t>
            </w:r>
          </w:p>
        </w:tc>
        <w:tc>
          <w:tcPr>
            <w:tcW w:w="669" w:type="pct"/>
            <w:shd w:val="clear" w:color="auto" w:fill="auto"/>
            <w:vAlign w:val="center"/>
          </w:tcPr>
          <w:p w14:paraId="12071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4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shd w:val="clear" w:color="auto" w:fill="auto"/>
            <w:vAlign w:val="center"/>
          </w:tcPr>
          <w:p w14:paraId="5587F9F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722" w:type="pct"/>
            <w:shd w:val="clear" w:color="auto" w:fill="auto"/>
            <w:vAlign w:val="center"/>
          </w:tcPr>
          <w:p w14:paraId="77EF8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吸入性及食物性过敏原特异性IgE抗体检测试剂盒</w:t>
            </w:r>
          </w:p>
        </w:tc>
        <w:tc>
          <w:tcPr>
            <w:tcW w:w="777" w:type="pct"/>
            <w:shd w:val="clear" w:color="auto" w:fill="auto"/>
            <w:vAlign w:val="center"/>
          </w:tcPr>
          <w:p w14:paraId="175CC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006614B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6653B7B6">
            <w:pPr>
              <w:keepNext w:val="0"/>
              <w:keepLines w:val="0"/>
              <w:widowControl/>
              <w:numPr>
                <w:ilvl w:val="0"/>
                <w:numId w:val="5"/>
              </w:numPr>
              <w:suppressLineNumbers w:val="0"/>
              <w:jc w:val="left"/>
              <w:textAlignment w:val="center"/>
              <w:rPr>
                <w:rFonts w:hint="eastAsia"/>
                <w:vertAlign w:val="baseline"/>
                <w:lang w:eastAsia="zh-CN"/>
              </w:rPr>
            </w:pPr>
            <w:r>
              <w:rPr>
                <w:rFonts w:hint="eastAsia"/>
                <w:vertAlign w:val="baseline"/>
              </w:rPr>
              <w:t>屋尘螨</w:t>
            </w:r>
            <w:r>
              <w:rPr>
                <w:rFonts w:hint="eastAsia"/>
                <w:color w:val="000000" w:themeColor="text1"/>
                <w:szCs w:val="21"/>
                <w:lang w:val="en-US" w:eastAsia="zh-CN"/>
                <w14:textFill>
                  <w14:solidFill>
                    <w14:schemeClr w14:val="tx1"/>
                  </w14:solidFill>
                </w14:textFill>
              </w:rPr>
              <w:t>/</w:t>
            </w:r>
            <w:r>
              <w:rPr>
                <w:rFonts w:hint="eastAsia"/>
                <w:vertAlign w:val="baseline"/>
              </w:rPr>
              <w:t>粉尘螨、豚草、艾蒿、猫毛皮、狗毛皮、蟑螂、点青霉</w:t>
            </w:r>
            <w:r>
              <w:rPr>
                <w:rFonts w:hint="eastAsia"/>
                <w:color w:val="000000" w:themeColor="text1"/>
                <w:szCs w:val="21"/>
                <w:lang w:val="en-US" w:eastAsia="zh-CN"/>
                <w14:textFill>
                  <w14:solidFill>
                    <w14:schemeClr w14:val="tx1"/>
                  </w14:solidFill>
                </w14:textFill>
              </w:rPr>
              <w:t>/</w:t>
            </w:r>
            <w:r>
              <w:rPr>
                <w:rFonts w:hint="eastAsia"/>
                <w:vertAlign w:val="baseline"/>
              </w:rPr>
              <w:t>分支孢霉</w:t>
            </w:r>
            <w:r>
              <w:rPr>
                <w:rFonts w:hint="eastAsia"/>
                <w:color w:val="000000" w:themeColor="text1"/>
                <w:szCs w:val="21"/>
                <w:lang w:val="en-US" w:eastAsia="zh-CN"/>
                <w14:textFill>
                  <w14:solidFill>
                    <w14:schemeClr w14:val="tx1"/>
                  </w14:solidFill>
                </w14:textFill>
              </w:rPr>
              <w:t>/</w:t>
            </w:r>
            <w:r>
              <w:rPr>
                <w:rFonts w:hint="eastAsia"/>
                <w:vertAlign w:val="baseline"/>
              </w:rPr>
              <w:t>烟曲霉</w:t>
            </w:r>
            <w:r>
              <w:rPr>
                <w:rFonts w:hint="eastAsia"/>
                <w:color w:val="000000" w:themeColor="text1"/>
                <w:szCs w:val="21"/>
                <w:lang w:val="en-US" w:eastAsia="zh-CN"/>
                <w14:textFill>
                  <w14:solidFill>
                    <w14:schemeClr w14:val="tx1"/>
                  </w14:solidFill>
                </w14:textFill>
              </w:rPr>
              <w:t>/</w:t>
            </w:r>
            <w:r>
              <w:rPr>
                <w:rFonts w:hint="eastAsia"/>
                <w:vertAlign w:val="baseline"/>
              </w:rPr>
              <w:t>交链孢霉、葎草、柳树</w:t>
            </w:r>
            <w:r>
              <w:rPr>
                <w:rFonts w:hint="eastAsia"/>
                <w:color w:val="000000" w:themeColor="text1"/>
                <w:szCs w:val="21"/>
                <w:lang w:val="en-US" w:eastAsia="zh-CN"/>
                <w14:textFill>
                  <w14:solidFill>
                    <w14:schemeClr w14:val="tx1"/>
                  </w14:solidFill>
                </w14:textFill>
              </w:rPr>
              <w:t>/</w:t>
            </w:r>
            <w:r>
              <w:rPr>
                <w:rFonts w:hint="eastAsia"/>
                <w:vertAlign w:val="baseline"/>
              </w:rPr>
              <w:t>杨树</w:t>
            </w:r>
            <w:r>
              <w:rPr>
                <w:rFonts w:hint="eastAsia"/>
                <w:color w:val="000000" w:themeColor="text1"/>
                <w:szCs w:val="21"/>
                <w:lang w:val="en-US" w:eastAsia="zh-CN"/>
                <w14:textFill>
                  <w14:solidFill>
                    <w14:schemeClr w14:val="tx1"/>
                  </w14:solidFill>
                </w14:textFill>
              </w:rPr>
              <w:t>/</w:t>
            </w:r>
            <w:r>
              <w:rPr>
                <w:rFonts w:hint="eastAsia"/>
                <w:vertAlign w:val="baseline"/>
              </w:rPr>
              <w:t>榆树、鸡蛋白、虾、蟹、牛肉、羊肉、花生、黄豆、牛奶、屋尘、鳕鱼、龙虾、扇贝</w:t>
            </w:r>
            <w:r>
              <w:rPr>
                <w:rFonts w:hint="eastAsia"/>
                <w:vertAlign w:val="baseline"/>
                <w:lang w:eastAsia="zh-CN"/>
              </w:rPr>
              <w:t>；</w:t>
            </w:r>
          </w:p>
          <w:p w14:paraId="0229505E">
            <w:pPr>
              <w:keepNext w:val="0"/>
              <w:keepLines w:val="0"/>
              <w:widowControl/>
              <w:numPr>
                <w:ilvl w:val="0"/>
                <w:numId w:val="5"/>
              </w:numPr>
              <w:suppressLineNumbers w:val="0"/>
              <w:jc w:val="left"/>
              <w:textAlignment w:val="center"/>
              <w:rPr>
                <w:rFonts w:hint="eastAsia"/>
                <w:vertAlign w:val="baseline"/>
                <w:lang w:val="en-US" w:eastAsia="zh-CN"/>
              </w:rPr>
            </w:pPr>
            <w:r>
              <w:rPr>
                <w:rFonts w:hint="eastAsia"/>
                <w:vertAlign w:val="baseline"/>
                <w:lang w:val="en-US" w:eastAsia="zh-CN"/>
              </w:rPr>
              <w:t>所有项目联检或根据吸入物变应原筛查、食入物变应原筛查、专项变应原(单价变应原)筛查、特殊变应原(多价变应原)筛查分别联检。</w:t>
            </w:r>
          </w:p>
        </w:tc>
        <w:tc>
          <w:tcPr>
            <w:tcW w:w="530" w:type="pct"/>
            <w:shd w:val="clear" w:color="auto" w:fill="auto"/>
            <w:vAlign w:val="center"/>
          </w:tcPr>
          <w:p w14:paraId="69FAB3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1822.73 </w:t>
            </w:r>
          </w:p>
        </w:tc>
        <w:tc>
          <w:tcPr>
            <w:tcW w:w="669" w:type="pct"/>
            <w:shd w:val="clear" w:color="auto" w:fill="auto"/>
            <w:vAlign w:val="center"/>
          </w:tcPr>
          <w:p w14:paraId="1E8246C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适用本院</w:t>
            </w:r>
          </w:p>
          <w:p w14:paraId="4B0382C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迪讯DX-Blot45</w:t>
            </w:r>
            <w:r>
              <w:rPr>
                <w:rFonts w:hint="eastAsia" w:ascii="微软雅黑" w:hAnsi="微软雅黑" w:eastAsia="微软雅黑" w:cs="微软雅黑"/>
                <w:i w:val="0"/>
                <w:iCs w:val="0"/>
                <w:color w:val="000000"/>
                <w:kern w:val="0"/>
                <w:sz w:val="20"/>
                <w:szCs w:val="20"/>
                <w:u w:val="none"/>
                <w:lang w:val="en-US" w:eastAsia="zh-CN" w:bidi="ar"/>
              </w:rPr>
              <w:t>Ⅱ</w:t>
            </w:r>
          </w:p>
        </w:tc>
      </w:tr>
      <w:tr w14:paraId="3228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vMerge w:val="restart"/>
            <w:shd w:val="clear" w:color="auto" w:fill="auto"/>
            <w:vAlign w:val="center"/>
          </w:tcPr>
          <w:p w14:paraId="115C57E2">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722" w:type="pct"/>
            <w:shd w:val="clear" w:color="auto" w:fill="auto"/>
            <w:vAlign w:val="center"/>
          </w:tcPr>
          <w:p w14:paraId="7AE47E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自身免疫性肝病IgG类抗体检测试剂盒</w:t>
            </w:r>
            <w:r>
              <w:rPr>
                <w:rFonts w:hint="eastAsia" w:ascii="宋体" w:hAnsi="宋体" w:cs="宋体"/>
                <w:i w:val="0"/>
                <w:iCs w:val="0"/>
                <w:color w:val="000000"/>
                <w:kern w:val="0"/>
                <w:sz w:val="20"/>
                <w:szCs w:val="20"/>
                <w:u w:val="none"/>
                <w:lang w:val="en-US" w:eastAsia="zh-CN" w:bidi="ar"/>
              </w:rPr>
              <w:t>（定量）</w:t>
            </w:r>
          </w:p>
        </w:tc>
        <w:tc>
          <w:tcPr>
            <w:tcW w:w="777" w:type="pct"/>
            <w:shd w:val="clear" w:color="auto" w:fill="auto"/>
            <w:vAlign w:val="center"/>
          </w:tcPr>
          <w:p w14:paraId="214E8B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33BEBC5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34BB5AF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抗平滑肌抗体测定（ASMA）、</w:t>
            </w:r>
            <w:r>
              <w:rPr>
                <w:rFonts w:hint="eastAsia" w:ascii="宋体" w:hAnsi="宋体" w:cs="宋体"/>
                <w:i w:val="0"/>
                <w:iCs w:val="0"/>
                <w:color w:val="000000"/>
                <w:kern w:val="0"/>
                <w:sz w:val="20"/>
                <w:szCs w:val="20"/>
                <w:u w:val="none"/>
                <w:lang w:val="en-US" w:eastAsia="zh-CN" w:bidi="ar"/>
              </w:rPr>
              <w:t>抗肝肾微粒体抗体（LKM-1）测定、</w:t>
            </w:r>
            <w:r>
              <w:rPr>
                <w:rFonts w:hint="eastAsia" w:ascii="宋体" w:hAnsi="宋体" w:eastAsia="宋体" w:cs="宋体"/>
                <w:i w:val="0"/>
                <w:iCs w:val="0"/>
                <w:color w:val="000000"/>
                <w:kern w:val="0"/>
                <w:sz w:val="20"/>
                <w:szCs w:val="20"/>
                <w:u w:val="none"/>
                <w:lang w:val="en-US" w:eastAsia="zh-CN" w:bidi="ar"/>
              </w:rPr>
              <w:t>抗线粒体抗体M2测定(AMA-M2)</w:t>
            </w:r>
            <w:r>
              <w:rPr>
                <w:rFonts w:hint="eastAsia" w:ascii="宋体" w:hAnsi="宋体" w:cs="宋体"/>
                <w:i w:val="0"/>
                <w:iCs w:val="0"/>
                <w:color w:val="000000"/>
                <w:kern w:val="0"/>
                <w:sz w:val="20"/>
                <w:szCs w:val="20"/>
                <w:u w:val="none"/>
                <w:lang w:val="en-US" w:eastAsia="zh-CN" w:bidi="ar"/>
              </w:rPr>
              <w:t>、抗干细胞浆1型抗体（LC-1）、抗可溶性肝抗原/肝-胰抗原抗体（SLA/LP）测定、抗Gp210抗体、抗Sp100抗体、抗核提取物抗体测定（抗SSA-52）等</w:t>
            </w:r>
          </w:p>
        </w:tc>
        <w:tc>
          <w:tcPr>
            <w:tcW w:w="530" w:type="pct"/>
            <w:shd w:val="clear" w:color="auto" w:fill="auto"/>
            <w:vAlign w:val="center"/>
          </w:tcPr>
          <w:p w14:paraId="53FE795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1576.43 </w:t>
            </w:r>
          </w:p>
        </w:tc>
        <w:tc>
          <w:tcPr>
            <w:tcW w:w="669" w:type="pct"/>
            <w:shd w:val="clear" w:color="auto" w:fill="auto"/>
            <w:vAlign w:val="center"/>
          </w:tcPr>
          <w:p w14:paraId="7BE007D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3F2AD1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31E0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vMerge w:val="continue"/>
            <w:shd w:val="clear" w:color="auto" w:fill="auto"/>
            <w:vAlign w:val="center"/>
          </w:tcPr>
          <w:p w14:paraId="075379C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1A32B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抗髓过氧化物酶、蛋白酶3、肾小球基底膜抗体IgG检测试剂盒</w:t>
            </w:r>
          </w:p>
        </w:tc>
        <w:tc>
          <w:tcPr>
            <w:tcW w:w="777" w:type="pct"/>
            <w:shd w:val="clear" w:color="auto" w:fill="auto"/>
            <w:vAlign w:val="center"/>
          </w:tcPr>
          <w:p w14:paraId="63E2B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79D615F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4583157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w:t>
            </w:r>
          </w:p>
        </w:tc>
        <w:tc>
          <w:tcPr>
            <w:tcW w:w="530" w:type="pct"/>
            <w:shd w:val="clear" w:color="auto" w:fill="auto"/>
            <w:vAlign w:val="center"/>
          </w:tcPr>
          <w:p w14:paraId="6A8E17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963.52 </w:t>
            </w:r>
          </w:p>
        </w:tc>
        <w:tc>
          <w:tcPr>
            <w:tcW w:w="669" w:type="pct"/>
            <w:shd w:val="clear" w:color="auto" w:fill="auto"/>
            <w:vAlign w:val="center"/>
          </w:tcPr>
          <w:p w14:paraId="0584494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1F9B2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37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360" w:type="pct"/>
            <w:shd w:val="clear" w:color="auto" w:fill="auto"/>
            <w:vAlign w:val="center"/>
          </w:tcPr>
          <w:p w14:paraId="547AAB64">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722" w:type="pct"/>
            <w:shd w:val="clear" w:color="auto" w:fill="auto"/>
            <w:vAlign w:val="center"/>
          </w:tcPr>
          <w:p w14:paraId="637BB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抗核抗体谱（IgG）检测试剂盒</w:t>
            </w:r>
            <w:r>
              <w:rPr>
                <w:rFonts w:hint="eastAsia" w:ascii="宋体" w:hAnsi="宋体" w:cs="宋体"/>
                <w:i w:val="0"/>
                <w:iCs w:val="0"/>
                <w:color w:val="000000"/>
                <w:kern w:val="0"/>
                <w:sz w:val="20"/>
                <w:szCs w:val="20"/>
                <w:u w:val="none"/>
                <w:lang w:val="en-US" w:eastAsia="zh-CN" w:bidi="ar"/>
              </w:rPr>
              <w:t>（定量）</w:t>
            </w:r>
          </w:p>
        </w:tc>
        <w:tc>
          <w:tcPr>
            <w:tcW w:w="777" w:type="pct"/>
            <w:shd w:val="clear" w:color="auto" w:fill="auto"/>
            <w:vAlign w:val="center"/>
          </w:tcPr>
          <w:p w14:paraId="45749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0F29E9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45F849EC">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vertAlign w:val="baseline"/>
              </w:rPr>
              <w:t>抗核提取物抗体测定(抗SSA</w:t>
            </w:r>
            <w:r>
              <w:rPr>
                <w:rFonts w:hint="eastAsia"/>
                <w:vertAlign w:val="baseline"/>
                <w:lang w:val="en-US" w:eastAsia="zh-CN"/>
              </w:rPr>
              <w:t>-52</w:t>
            </w:r>
            <w:r>
              <w:rPr>
                <w:rFonts w:hint="eastAsia"/>
                <w:vertAlign w:val="baseline"/>
              </w:rPr>
              <w:t>）、抗核提取物抗体测定(抗SSA</w:t>
            </w:r>
            <w:r>
              <w:rPr>
                <w:rFonts w:hint="eastAsia"/>
                <w:vertAlign w:val="baseline"/>
                <w:lang w:val="en-US" w:eastAsia="zh-CN"/>
              </w:rPr>
              <w:t>-60</w:t>
            </w:r>
            <w:r>
              <w:rPr>
                <w:rFonts w:hint="eastAsia"/>
                <w:vertAlign w:val="baseline"/>
              </w:rPr>
              <w:t>）抗核提取物抗体测定（抗SSB）、抗核提取物抗体测定（抗JO－1）、抗核提取物抗体测定（抗Sm）、抗核提取物抗体测定（抗nRNP）、抗核提取物抗体测定（抗ScL-70）、抗双链DNA测定(抗dsDNA)</w:t>
            </w:r>
            <w:r>
              <w:rPr>
                <w:rFonts w:hint="eastAsia"/>
                <w:vertAlign w:val="baseline"/>
                <w:lang w:eastAsia="zh-CN"/>
              </w:rPr>
              <w:t>、</w:t>
            </w:r>
            <w:r>
              <w:rPr>
                <w:rFonts w:ascii="新宋体" w:hAnsi="新宋体" w:eastAsia="新宋体" w:cs="新宋体"/>
                <w:caps/>
                <w:color w:val="auto"/>
                <w:sz w:val="22"/>
                <w:szCs w:val="22"/>
                <w:highlight w:val="none"/>
              </w:rPr>
              <w:t>抗着丝点蛋白B抗体</w:t>
            </w:r>
            <w:r>
              <w:rPr>
                <w:rFonts w:hint="eastAsia" w:ascii="新宋体" w:hAnsi="新宋体" w:eastAsia="新宋体" w:cs="新宋体"/>
                <w:caps/>
                <w:color w:val="auto"/>
                <w:sz w:val="22"/>
                <w:szCs w:val="22"/>
                <w:highlight w:val="none"/>
                <w:lang w:eastAsia="zh-CN"/>
              </w:rPr>
              <w:t>、</w:t>
            </w:r>
            <w:r>
              <w:rPr>
                <w:rFonts w:ascii="新宋体" w:hAnsi="新宋体" w:eastAsia="新宋体" w:cs="新宋体"/>
                <w:caps/>
                <w:color w:val="auto"/>
                <w:sz w:val="22"/>
                <w:szCs w:val="22"/>
                <w:highlight w:val="none"/>
              </w:rPr>
              <w:t>抗线粒体(M2)抗体</w:t>
            </w:r>
            <w:r>
              <w:rPr>
                <w:rFonts w:hint="eastAsia" w:ascii="新宋体" w:hAnsi="新宋体" w:eastAsia="新宋体" w:cs="新宋体"/>
                <w:caps/>
                <w:color w:val="auto"/>
                <w:sz w:val="22"/>
                <w:szCs w:val="22"/>
                <w:highlight w:val="none"/>
                <w:lang w:eastAsia="zh-CN"/>
              </w:rPr>
              <w:t>、</w:t>
            </w:r>
            <w:r>
              <w:rPr>
                <w:rFonts w:ascii="新宋体" w:hAnsi="新宋体" w:eastAsia="新宋体" w:cs="新宋体"/>
                <w:caps/>
                <w:color w:val="auto"/>
                <w:sz w:val="22"/>
                <w:szCs w:val="22"/>
                <w:highlight w:val="none"/>
              </w:rPr>
              <w:t>抗PM/Scl抗体</w:t>
            </w:r>
            <w:r>
              <w:rPr>
                <w:rFonts w:hint="eastAsia" w:ascii="新宋体" w:hAnsi="新宋体" w:eastAsia="新宋体" w:cs="新宋体"/>
                <w:caps/>
                <w:color w:val="auto"/>
                <w:sz w:val="22"/>
                <w:szCs w:val="22"/>
                <w:highlight w:val="none"/>
              </w:rPr>
              <w:t>，</w:t>
            </w:r>
            <w:r>
              <w:rPr>
                <w:rFonts w:ascii="新宋体" w:hAnsi="新宋体" w:eastAsia="新宋体" w:cs="新宋体"/>
                <w:caps/>
                <w:color w:val="auto"/>
                <w:sz w:val="22"/>
                <w:szCs w:val="22"/>
                <w:highlight w:val="none"/>
              </w:rPr>
              <w:t>抗组蛋白抗体</w:t>
            </w:r>
            <w:r>
              <w:rPr>
                <w:rFonts w:hint="eastAsia" w:ascii="新宋体" w:hAnsi="新宋体" w:eastAsia="新宋体" w:cs="新宋体"/>
                <w:caps/>
                <w:color w:val="auto"/>
                <w:sz w:val="22"/>
                <w:szCs w:val="22"/>
                <w:highlight w:val="none"/>
              </w:rPr>
              <w:t>，</w:t>
            </w:r>
            <w:r>
              <w:rPr>
                <w:rFonts w:ascii="新宋体" w:hAnsi="新宋体" w:eastAsia="新宋体" w:cs="新宋体"/>
                <w:caps/>
                <w:color w:val="auto"/>
                <w:sz w:val="22"/>
                <w:szCs w:val="22"/>
                <w:highlight w:val="none"/>
              </w:rPr>
              <w:t>抗核小体抗体</w:t>
            </w:r>
            <w:r>
              <w:rPr>
                <w:rFonts w:hint="eastAsia" w:ascii="新宋体" w:hAnsi="新宋体" w:eastAsia="新宋体" w:cs="新宋体"/>
                <w:caps/>
                <w:color w:val="auto"/>
                <w:sz w:val="22"/>
                <w:szCs w:val="22"/>
                <w:highlight w:val="none"/>
                <w:lang w:eastAsia="zh-CN"/>
              </w:rPr>
              <w:t>、</w:t>
            </w:r>
            <w:r>
              <w:rPr>
                <w:rFonts w:ascii="新宋体" w:hAnsi="新宋体" w:eastAsia="新宋体" w:cs="新宋体"/>
                <w:caps/>
                <w:color w:val="auto"/>
                <w:sz w:val="22"/>
                <w:szCs w:val="22"/>
                <w:highlight w:val="none"/>
              </w:rPr>
              <w:t>抗核糖核蛋白</w:t>
            </w:r>
          </w:p>
        </w:tc>
        <w:tc>
          <w:tcPr>
            <w:tcW w:w="530" w:type="pct"/>
            <w:shd w:val="clear" w:color="auto" w:fill="auto"/>
            <w:vAlign w:val="center"/>
          </w:tcPr>
          <w:p w14:paraId="303D88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1380.92 </w:t>
            </w:r>
          </w:p>
        </w:tc>
        <w:tc>
          <w:tcPr>
            <w:tcW w:w="669" w:type="pct"/>
            <w:shd w:val="clear" w:color="auto" w:fill="auto"/>
            <w:vAlign w:val="center"/>
          </w:tcPr>
          <w:p w14:paraId="2AB561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适用透景I200</w:t>
            </w:r>
          </w:p>
        </w:tc>
      </w:tr>
    </w:tbl>
    <w:p w14:paraId="2D948F50">
      <w:pPr>
        <w:pStyle w:val="15"/>
        <w:bidi w:val="0"/>
        <w:ind w:left="0" w:leftChars="0" w:firstLine="0" w:firstLineChars="0"/>
        <w:rPr>
          <w:rFonts w:hint="eastAsia"/>
          <w:b/>
          <w:bCs/>
          <w:sz w:val="24"/>
          <w:szCs w:val="24"/>
          <w:highlight w:val="none"/>
          <w:lang w:val="en-US" w:eastAsia="zh-CN"/>
        </w:rPr>
      </w:pPr>
    </w:p>
    <w:p w14:paraId="0CC893A7">
      <w:pPr>
        <w:pStyle w:val="15"/>
        <w:bidi w:val="0"/>
        <w:ind w:left="0" w:leftChars="0" w:firstLine="0" w:firstLineChars="0"/>
        <w:rPr>
          <w:rFonts w:hint="eastAsia"/>
          <w:b/>
          <w:bCs/>
          <w:lang w:val="en-US" w:eastAsia="zh-CN"/>
        </w:rPr>
      </w:pPr>
      <w:r>
        <w:rPr>
          <w:rFonts w:hint="eastAsia"/>
          <w:b/>
          <w:bCs/>
          <w:sz w:val="24"/>
          <w:szCs w:val="24"/>
          <w:highlight w:val="none"/>
          <w:lang w:val="en-US" w:eastAsia="zh-CN"/>
        </w:rPr>
        <w:t>2）其他要求：</w:t>
      </w:r>
    </w:p>
    <w:p w14:paraId="7B51977F">
      <w:pPr>
        <w:rPr>
          <w:rFonts w:hint="eastAsia"/>
          <w:b/>
          <w:bCs/>
          <w:lang w:val="en-US" w:eastAsia="zh-CN"/>
        </w:rPr>
      </w:pPr>
      <w:r>
        <w:rPr>
          <w:rFonts w:hint="eastAsia"/>
          <w:b/>
          <w:bCs/>
          <w:lang w:val="en-US" w:eastAsia="zh-CN"/>
        </w:rPr>
        <w:t>1、所有项目试剂要求省内三甲医院三家（含）以上在使用。（提供发票佐证）</w:t>
      </w:r>
    </w:p>
    <w:p w14:paraId="288957EE">
      <w:pPr>
        <w:rPr>
          <w:rFonts w:hint="default" w:eastAsiaTheme="minorEastAsia"/>
          <w:b/>
          <w:bCs/>
          <w:lang w:val="en-US" w:eastAsia="zh-CN"/>
        </w:rPr>
      </w:pPr>
      <w:r>
        <w:rPr>
          <w:rFonts w:hint="eastAsia"/>
          <w:b/>
          <w:bCs/>
          <w:color w:val="auto"/>
          <w:sz w:val="22"/>
          <w:highlight w:val="none"/>
          <w:lang w:val="en-US" w:eastAsia="zh-CN"/>
        </w:rPr>
        <w:t>2、国家卫生健康委临检中心有开展</w:t>
      </w:r>
      <w:r>
        <w:rPr>
          <w:rFonts w:hint="eastAsia"/>
          <w:b/>
          <w:bCs/>
          <w:color w:val="auto"/>
          <w:sz w:val="22"/>
          <w:highlight w:val="none"/>
          <w:lang w:eastAsia="zh-CN"/>
        </w:rPr>
        <w:t>室间质评活动</w:t>
      </w:r>
      <w:r>
        <w:rPr>
          <w:rFonts w:hint="eastAsia"/>
          <w:b/>
          <w:bCs/>
          <w:color w:val="auto"/>
          <w:sz w:val="22"/>
          <w:highlight w:val="none"/>
          <w:lang w:val="en-US" w:eastAsia="zh-CN"/>
        </w:rPr>
        <w:t>的项目须有</w:t>
      </w:r>
      <w:r>
        <w:rPr>
          <w:rFonts w:hint="eastAsia"/>
          <w:b/>
          <w:bCs/>
          <w:color w:val="auto"/>
          <w:sz w:val="22"/>
          <w:highlight w:val="none"/>
          <w:lang w:eastAsia="zh-CN"/>
        </w:rPr>
        <w:t>独立成组（</w:t>
      </w:r>
      <w:r>
        <w:rPr>
          <w:rFonts w:hint="eastAsia"/>
          <w:b/>
          <w:bCs/>
          <w:color w:val="auto"/>
          <w:sz w:val="22"/>
          <w:highlight w:val="none"/>
          <w:lang w:val="en-US" w:eastAsia="zh-CN"/>
        </w:rPr>
        <w:t>须</w:t>
      </w:r>
      <w:r>
        <w:rPr>
          <w:rFonts w:hint="eastAsia"/>
          <w:b/>
          <w:bCs/>
          <w:color w:val="auto"/>
          <w:sz w:val="22"/>
          <w:highlight w:val="none"/>
          <w:lang w:eastAsia="zh-CN"/>
        </w:rPr>
        <w:t>提供</w:t>
      </w:r>
      <w:r>
        <w:rPr>
          <w:rFonts w:hint="eastAsia"/>
          <w:b/>
          <w:bCs/>
          <w:color w:val="auto"/>
          <w:sz w:val="22"/>
          <w:highlight w:val="none"/>
          <w:lang w:val="en-US" w:eastAsia="zh-CN"/>
        </w:rPr>
        <w:t>20</w:t>
      </w:r>
      <w:r>
        <w:rPr>
          <w:rFonts w:hint="eastAsia"/>
          <w:b/>
          <w:bCs/>
          <w:color w:val="auto"/>
          <w:sz w:val="22"/>
          <w:highlight w:val="none"/>
          <w:lang w:eastAsia="zh-CN"/>
        </w:rPr>
        <w:t>2</w:t>
      </w:r>
      <w:r>
        <w:rPr>
          <w:rFonts w:hint="eastAsia"/>
          <w:b/>
          <w:bCs/>
          <w:color w:val="auto"/>
          <w:sz w:val="22"/>
          <w:highlight w:val="none"/>
          <w:lang w:val="en-US" w:eastAsia="zh-CN"/>
        </w:rPr>
        <w:t>5</w:t>
      </w:r>
      <w:r>
        <w:rPr>
          <w:rFonts w:hint="eastAsia"/>
          <w:b/>
          <w:bCs/>
          <w:color w:val="auto"/>
          <w:sz w:val="22"/>
          <w:highlight w:val="none"/>
          <w:lang w:eastAsia="zh-CN"/>
        </w:rPr>
        <w:t>年数据</w:t>
      </w:r>
      <w:r>
        <w:rPr>
          <w:rFonts w:hint="eastAsia"/>
          <w:b/>
          <w:bCs/>
          <w:color w:val="auto"/>
          <w:sz w:val="22"/>
          <w:highlight w:val="none"/>
          <w:lang w:val="en-US" w:eastAsia="zh-CN"/>
        </w:rPr>
        <w:t>相关佐证材料</w:t>
      </w:r>
      <w:r>
        <w:rPr>
          <w:rFonts w:hint="eastAsia"/>
          <w:b/>
          <w:bCs/>
          <w:color w:val="auto"/>
          <w:sz w:val="22"/>
          <w:highlight w:val="none"/>
          <w:lang w:eastAsia="zh-CN"/>
        </w:rPr>
        <w:t>）。</w:t>
      </w: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1980565</wp:posOffset>
            </wp:positionH>
            <wp:positionV relativeFrom="paragraph">
              <wp:posOffset>363855</wp:posOffset>
            </wp:positionV>
            <wp:extent cx="1313815" cy="1313815"/>
            <wp:effectExtent l="0" t="0" r="635" b="635"/>
            <wp:wrapTopAndBottom/>
            <wp:docPr id="1" name="图片 1" descr="C:/Users/Lenovo/Desktop/试剂1.png试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试剂1.png试剂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报名截止时间2026年4月20日12时。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标书投递截止时间2026年4月20日12时。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2" w:firstLineChars="200"/>
        <w:textAlignment w:val="auto"/>
        <w:rPr>
          <w:rFonts w:hint="eastAsia"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用户名单（注明浙江省内三级以上医院），附近期供货的发票复件。</w:t>
      </w:r>
    </w:p>
    <w:p w14:paraId="1F756864">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2" w:firstLineChars="200"/>
        <w:textAlignment w:val="auto"/>
        <w:rPr>
          <w:rFonts w:hint="default"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产品说明书；</w:t>
      </w:r>
    </w:p>
    <w:p w14:paraId="122C8EB4">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w:t>
      </w:r>
    </w:p>
    <w:p w14:paraId="4C5AFC80">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7"/>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BE4023D">
            <w:pPr>
              <w:spacing w:line="240" w:lineRule="auto"/>
              <w:jc w:val="center"/>
              <w:rPr>
                <w:rFonts w:hint="default"/>
                <w:lang w:val="en-US" w:eastAsia="zh-CN"/>
              </w:rPr>
            </w:pPr>
            <w:r>
              <w:rPr>
                <w:rFonts w:hint="eastAsia" w:cs="宋体"/>
                <w:kern w:val="2"/>
                <w:sz w:val="24"/>
                <w:szCs w:val="24"/>
                <w:highlight w:val="none"/>
                <w:vertAlign w:val="baseline"/>
                <w:lang w:val="en-US" w:eastAsia="zh-CN" w:bidi="ar-SA"/>
              </w:rPr>
              <w:t>/</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2026年检验试剂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F8955398"/>
    <w:multiLevelType w:val="singleLevel"/>
    <w:tmpl w:val="F8955398"/>
    <w:lvl w:ilvl="0" w:tentative="0">
      <w:start w:val="1"/>
      <w:numFmt w:val="decimal"/>
      <w:lvlText w:val="%1."/>
      <w:lvlJc w:val="left"/>
      <w:pPr>
        <w:tabs>
          <w:tab w:val="left" w:pos="312"/>
        </w:tabs>
      </w:pPr>
    </w:lvl>
  </w:abstractNum>
  <w:abstractNum w:abstractNumId="2">
    <w:nsid w:val="1A116FD9"/>
    <w:multiLevelType w:val="singleLevel"/>
    <w:tmpl w:val="1A116FD9"/>
    <w:lvl w:ilvl="0" w:tentative="0">
      <w:start w:val="1"/>
      <w:numFmt w:val="decimal"/>
      <w:lvlText w:val="%1."/>
      <w:lvlJc w:val="left"/>
      <w:pPr>
        <w:tabs>
          <w:tab w:val="left" w:pos="312"/>
        </w:tabs>
      </w:pPr>
    </w:lvl>
  </w:abstractNum>
  <w:abstractNum w:abstractNumId="3">
    <w:nsid w:val="2C9F9359"/>
    <w:multiLevelType w:val="singleLevel"/>
    <w:tmpl w:val="2C9F9359"/>
    <w:lvl w:ilvl="0" w:tentative="0">
      <w:start w:val="1"/>
      <w:numFmt w:val="chineseCounting"/>
      <w:suff w:val="nothing"/>
      <w:lvlText w:val="%1、"/>
      <w:lvlJc w:val="left"/>
      <w:rPr>
        <w:rFonts w:hint="eastAsia"/>
      </w:rPr>
    </w:lvl>
  </w:abstractNum>
  <w:abstractNum w:abstractNumId="4">
    <w:nsid w:val="4AB8C9E0"/>
    <w:multiLevelType w:val="singleLevel"/>
    <w:tmpl w:val="4AB8C9E0"/>
    <w:lvl w:ilvl="0" w:tentative="0">
      <w:start w:val="8"/>
      <w:numFmt w:val="chineseCounting"/>
      <w:suff w:val="nothing"/>
      <w:lvlText w:val="%1、"/>
      <w:lvlJc w:val="left"/>
      <w:rPr>
        <w:rFonts w:hint="eastAsia"/>
      </w:rPr>
    </w:lvl>
  </w:abstractNum>
  <w:abstractNum w:abstractNumId="5">
    <w:nsid w:val="513D2FEA"/>
    <w:multiLevelType w:val="singleLevel"/>
    <w:tmpl w:val="513D2FEA"/>
    <w:lvl w:ilvl="0" w:tentative="0">
      <w:start w:val="1"/>
      <w:numFmt w:val="decimal"/>
      <w:lvlText w:val="%1."/>
      <w:lvlJc w:val="left"/>
      <w:pPr>
        <w:ind w:left="425" w:hanging="425"/>
      </w:pPr>
      <w:rPr>
        <w:rFonts w:hint="default"/>
      </w:rPr>
    </w:lvl>
  </w:abstractNum>
  <w:abstractNum w:abstractNumId="6">
    <w:nsid w:val="5D6E5D3A"/>
    <w:multiLevelType w:val="singleLevel"/>
    <w:tmpl w:val="5D6E5D3A"/>
    <w:lvl w:ilvl="0" w:tentative="0">
      <w:start w:val="1"/>
      <w:numFmt w:val="decimal"/>
      <w:lvlText w:val="%1."/>
      <w:lvlJc w:val="left"/>
      <w:pPr>
        <w:tabs>
          <w:tab w:val="left" w:pos="312"/>
        </w:tabs>
      </w:p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DAC0C8F"/>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2A62A95"/>
    <w:rsid w:val="53BC5935"/>
    <w:rsid w:val="53C0404C"/>
    <w:rsid w:val="54215166"/>
    <w:rsid w:val="54786EE6"/>
    <w:rsid w:val="55FD44F7"/>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3417</Words>
  <Characters>3876</Characters>
  <Lines>0</Lines>
  <Paragraphs>0</Paragraphs>
  <TotalTime>3</TotalTime>
  <ScaleCrop>false</ScaleCrop>
  <LinksUpToDate>false</LinksUpToDate>
  <CharactersWithSpaces>4281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2026-04-13T06:10:07Z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