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2026年检验试剂</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公告（一）</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一批检验试剂进行遴选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检验试剂</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（一）</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预算/元</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1325" w:type="dxa"/>
            <w:shd w:val="clear" w:color="auto" w:fill="auto"/>
            <w:vAlign w:val="center"/>
          </w:tcPr>
          <w:p w14:paraId="03C64326">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抗RA33抗体IgG检测试剂盒（磁微粒化学发光法）</w:t>
            </w:r>
          </w:p>
        </w:tc>
        <w:tc>
          <w:tcPr>
            <w:tcW w:w="1162" w:type="dxa"/>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5" w:type="dxa"/>
            <w:shd w:val="clear" w:color="auto" w:fill="auto"/>
            <w:vAlign w:val="center"/>
          </w:tcPr>
          <w:p w14:paraId="3F1DB84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3" w:type="dxa"/>
            <w:shd w:val="clear" w:color="auto" w:fill="auto"/>
            <w:vAlign w:val="center"/>
          </w:tcPr>
          <w:p w14:paraId="2B923AE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662" w:type="dxa"/>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33" w:type="dxa"/>
            <w:shd w:val="clear" w:color="auto" w:fill="auto"/>
            <w:vAlign w:val="center"/>
          </w:tcPr>
          <w:p w14:paraId="65AF4DD6">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类风关抗体谱检测 （MCV、RA33、MMP-3）项目开展</w:t>
            </w:r>
            <w:r>
              <w:rPr>
                <w:rFonts w:hint="eastAsia" w:ascii="宋体" w:hAnsi="宋体" w:cs="宋体"/>
                <w:i w:val="0"/>
                <w:iCs w:val="0"/>
                <w:color w:val="000000"/>
                <w:kern w:val="0"/>
                <w:sz w:val="20"/>
                <w:szCs w:val="20"/>
                <w:u w:val="none"/>
                <w:lang w:val="en-US" w:eastAsia="zh-CN" w:bidi="ar"/>
              </w:rPr>
              <w:t>。</w:t>
            </w:r>
          </w:p>
          <w:p w14:paraId="3A70F8B6">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default" w:ascii="宋体" w:hAnsi="宋体" w:cs="宋体"/>
                <w:i w:val="0"/>
                <w:iCs w:val="0"/>
                <w:color w:val="000000"/>
                <w:kern w:val="0"/>
                <w:sz w:val="20"/>
                <w:szCs w:val="20"/>
                <w:u w:val="none"/>
                <w:lang w:val="en-US" w:eastAsia="zh-CN" w:bidi="ar"/>
              </w:rPr>
              <w:t>用途:抗RA33 抗体是诊断类风湿性关节炎（RA）较为特异的抗体，适用于早期RA 的筛查，。</w:t>
            </w:r>
          </w:p>
        </w:tc>
        <w:tc>
          <w:tcPr>
            <w:tcW w:w="1365" w:type="dxa"/>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1972</w:t>
            </w: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1325" w:type="dxa"/>
            <w:shd w:val="clear" w:color="auto" w:fill="auto"/>
            <w:vAlign w:val="center"/>
          </w:tcPr>
          <w:p w14:paraId="73AA018C">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抗突变型瓜氨酸波形蛋白（MCV）抗体检测试剂盒（磁微粒化学发光法）</w:t>
            </w:r>
          </w:p>
        </w:tc>
        <w:tc>
          <w:tcPr>
            <w:tcW w:w="1162" w:type="dxa"/>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5" w:type="dxa"/>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3" w:type="dxa"/>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662" w:type="dxa"/>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33" w:type="dxa"/>
            <w:shd w:val="clear" w:color="auto" w:fill="auto"/>
            <w:vAlign w:val="center"/>
          </w:tcPr>
          <w:p w14:paraId="76A22496">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类风关抗体谱检测 （MCV、RA33、MMP-3）项目开展</w:t>
            </w:r>
            <w:r>
              <w:rPr>
                <w:rFonts w:hint="eastAsia" w:ascii="宋体" w:hAnsi="宋体" w:cs="宋体"/>
                <w:i w:val="0"/>
                <w:iCs w:val="0"/>
                <w:color w:val="000000"/>
                <w:kern w:val="0"/>
                <w:sz w:val="20"/>
                <w:szCs w:val="20"/>
                <w:u w:val="none"/>
                <w:lang w:val="en-US" w:eastAsia="zh-CN" w:bidi="ar"/>
              </w:rPr>
              <w:t>。</w:t>
            </w:r>
          </w:p>
        </w:tc>
        <w:tc>
          <w:tcPr>
            <w:tcW w:w="1365" w:type="dxa"/>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1325" w:type="dxa"/>
            <w:shd w:val="clear" w:color="auto" w:fill="auto"/>
            <w:vAlign w:val="center"/>
          </w:tcPr>
          <w:p w14:paraId="662CC466">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基质金属蛋白酶3（MMP-3）检测试剂盒（磁微粒化学发光法）</w:t>
            </w:r>
          </w:p>
        </w:tc>
        <w:tc>
          <w:tcPr>
            <w:tcW w:w="1162" w:type="dxa"/>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5" w:type="dxa"/>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3" w:type="dxa"/>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662" w:type="dxa"/>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33" w:type="dxa"/>
            <w:shd w:val="clear" w:color="auto" w:fill="auto"/>
            <w:vAlign w:val="center"/>
          </w:tcPr>
          <w:p w14:paraId="24DA7D65">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类风关抗体谱检测 （MCV、RA33、MMP-3）项目开展</w:t>
            </w:r>
            <w:r>
              <w:rPr>
                <w:rFonts w:hint="eastAsia" w:ascii="宋体" w:hAnsi="宋体" w:cs="宋体"/>
                <w:i w:val="0"/>
                <w:iCs w:val="0"/>
                <w:color w:val="000000"/>
                <w:kern w:val="0"/>
                <w:sz w:val="20"/>
                <w:szCs w:val="20"/>
                <w:u w:val="none"/>
                <w:lang w:val="en-US" w:eastAsia="zh-CN" w:bidi="ar"/>
              </w:rPr>
              <w:t>。</w:t>
            </w:r>
          </w:p>
        </w:tc>
        <w:tc>
          <w:tcPr>
            <w:tcW w:w="1365" w:type="dxa"/>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7C1FB5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1325" w:type="dxa"/>
            <w:shd w:val="clear" w:color="auto" w:fill="auto"/>
            <w:vAlign w:val="center"/>
          </w:tcPr>
          <w:p w14:paraId="6887E76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抗内皮细胞抗体IgG检测试剂盒（磁微粒化学发光法)</w:t>
            </w:r>
          </w:p>
        </w:tc>
        <w:tc>
          <w:tcPr>
            <w:tcW w:w="1162" w:type="dxa"/>
            <w:shd w:val="clear" w:color="auto" w:fill="auto"/>
            <w:vAlign w:val="center"/>
          </w:tcPr>
          <w:p w14:paraId="56E6938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025" w:type="dxa"/>
            <w:shd w:val="clear" w:color="auto" w:fill="auto"/>
            <w:vAlign w:val="center"/>
          </w:tcPr>
          <w:p w14:paraId="24EAC1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713" w:type="dxa"/>
            <w:shd w:val="clear" w:color="auto" w:fill="auto"/>
            <w:vAlign w:val="center"/>
          </w:tcPr>
          <w:p w14:paraId="6850B7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662" w:type="dxa"/>
            <w:shd w:val="clear" w:color="auto" w:fill="auto"/>
            <w:vAlign w:val="center"/>
          </w:tcPr>
          <w:p w14:paraId="21C15D3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33" w:type="dxa"/>
            <w:shd w:val="clear" w:color="auto" w:fill="auto"/>
            <w:vAlign w:val="center"/>
          </w:tcPr>
          <w:p w14:paraId="3A616E25">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抗内皮细胞抗体IgG检测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适应症：临床上主要用于原发性、继发性自身免疫性血管炎、特发性肾脏血管炎， SLE、APS、RA相关性血管炎、混合性结缔组织病及原发性干燥综合征的辅助诊断。</w:t>
            </w:r>
          </w:p>
        </w:tc>
        <w:tc>
          <w:tcPr>
            <w:tcW w:w="1365" w:type="dxa"/>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2784</w:t>
            </w: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1325" w:type="dxa"/>
            <w:shd w:val="clear" w:color="auto" w:fill="auto"/>
            <w:vAlign w:val="center"/>
          </w:tcPr>
          <w:p w14:paraId="4089D56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铜蓝蛋白检测</w:t>
            </w:r>
          </w:p>
        </w:tc>
        <w:tc>
          <w:tcPr>
            <w:tcW w:w="1162" w:type="dxa"/>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5" w:type="dxa"/>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713" w:type="dxa"/>
            <w:shd w:val="clear" w:color="auto" w:fill="auto"/>
            <w:vAlign w:val="center"/>
          </w:tcPr>
          <w:p w14:paraId="52C0087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662" w:type="dxa"/>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33" w:type="dxa"/>
            <w:shd w:val="clear" w:color="auto" w:fill="auto"/>
            <w:vAlign w:val="center"/>
          </w:tcPr>
          <w:p w14:paraId="2944E18C">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铜蓝蛋白是一种由胎盘合体滋养层细胞产生的蛋白质，在妊娠及非妊娠状态下具有不同的临床意义。</w:t>
            </w:r>
          </w:p>
        </w:tc>
        <w:tc>
          <w:tcPr>
            <w:tcW w:w="1365" w:type="dxa"/>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HIS结算</w:t>
            </w: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AC9475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1325" w:type="dxa"/>
            <w:shd w:val="clear" w:color="auto" w:fill="auto"/>
            <w:vAlign w:val="center"/>
          </w:tcPr>
          <w:p w14:paraId="473EEBB3">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触珠蛋白</w:t>
            </w:r>
          </w:p>
        </w:tc>
        <w:tc>
          <w:tcPr>
            <w:tcW w:w="1162" w:type="dxa"/>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5" w:type="dxa"/>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3" w:type="dxa"/>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662" w:type="dxa"/>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314EBD01">
            <w:pPr>
              <w:keepNext w:val="0"/>
              <w:keepLines w:val="0"/>
              <w:widowControl/>
              <w:suppressLineNumbers w:val="0"/>
              <w:jc w:val="left"/>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可用于诊断溶血性贫血、巨幼细胞性贫血，传染性单核细胞增多症，急、慢性感染，组织损伤，急、慢性肝细胞和结核病、风湿病及红斑狼疮等疾病</w:t>
            </w:r>
          </w:p>
        </w:tc>
        <w:tc>
          <w:tcPr>
            <w:tcW w:w="1365" w:type="dxa"/>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HIS结算</w:t>
            </w: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271B45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1325" w:type="dxa"/>
            <w:shd w:val="clear" w:color="auto" w:fill="auto"/>
            <w:vAlign w:val="center"/>
          </w:tcPr>
          <w:p w14:paraId="4E5B01CF">
            <w:pPr>
              <w:keepNext w:val="0"/>
              <w:keepLines w:val="0"/>
              <w:widowControl/>
              <w:suppressLineNumbers w:val="0"/>
              <w:jc w:val="left"/>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游离轻链(K型、λ型)</w:t>
            </w:r>
          </w:p>
        </w:tc>
        <w:tc>
          <w:tcPr>
            <w:tcW w:w="1162" w:type="dxa"/>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5" w:type="dxa"/>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3" w:type="dxa"/>
            <w:shd w:val="clear" w:color="auto" w:fill="auto"/>
            <w:vAlign w:val="center"/>
          </w:tcPr>
          <w:p w14:paraId="714360C6">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100测试/盒</w:t>
            </w:r>
          </w:p>
        </w:tc>
        <w:tc>
          <w:tcPr>
            <w:tcW w:w="662" w:type="dxa"/>
            <w:shd w:val="clear" w:color="auto" w:fill="auto"/>
            <w:vAlign w:val="center"/>
          </w:tcPr>
          <w:p w14:paraId="37910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35A0E944">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用于相关肿瘤的辅助诊断、监测疗效及辅助以后的治疗计划。</w:t>
            </w:r>
          </w:p>
        </w:tc>
        <w:tc>
          <w:tcPr>
            <w:tcW w:w="1365" w:type="dxa"/>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HIS结算</w:t>
            </w:r>
          </w:p>
        </w:tc>
      </w:tr>
      <w:tr w14:paraId="42E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ECE095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1325" w:type="dxa"/>
            <w:shd w:val="clear" w:color="auto" w:fill="auto"/>
            <w:vAlign w:val="center"/>
          </w:tcPr>
          <w:p w14:paraId="024C86ED">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博卡病毒核酸检测</w:t>
            </w:r>
          </w:p>
        </w:tc>
        <w:tc>
          <w:tcPr>
            <w:tcW w:w="1162" w:type="dxa"/>
            <w:shd w:val="clear" w:color="auto" w:fill="auto"/>
            <w:vAlign w:val="center"/>
          </w:tcPr>
          <w:p w14:paraId="282E652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5" w:type="dxa"/>
            <w:shd w:val="clear" w:color="auto" w:fill="auto"/>
            <w:vAlign w:val="center"/>
          </w:tcPr>
          <w:p w14:paraId="2572C81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3" w:type="dxa"/>
            <w:shd w:val="clear" w:color="auto" w:fill="auto"/>
            <w:vAlign w:val="center"/>
          </w:tcPr>
          <w:p w14:paraId="419C397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62" w:type="dxa"/>
            <w:shd w:val="clear" w:color="auto" w:fill="auto"/>
            <w:vAlign w:val="center"/>
          </w:tcPr>
          <w:p w14:paraId="6067D8D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人份</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F99EF5B">
            <w:pPr>
              <w:keepNext w:val="0"/>
              <w:keepLines w:val="0"/>
              <w:widowControl/>
              <w:suppressLineNumbers w:val="0"/>
              <w:jc w:val="left"/>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w:t>
            </w:r>
          </w:p>
        </w:tc>
        <w:tc>
          <w:tcPr>
            <w:tcW w:w="1365" w:type="dxa"/>
            <w:shd w:val="clear" w:color="auto" w:fill="auto"/>
            <w:vAlign w:val="center"/>
          </w:tcPr>
          <w:p w14:paraId="6F92F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15元/人份</w:t>
            </w:r>
          </w:p>
        </w:tc>
      </w:tr>
      <w:tr w14:paraId="2D6A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F652D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1325" w:type="dxa"/>
            <w:shd w:val="clear" w:color="auto" w:fill="auto"/>
            <w:vAlign w:val="center"/>
          </w:tcPr>
          <w:p w14:paraId="3602D57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鼻病毒核酸检测</w:t>
            </w:r>
          </w:p>
        </w:tc>
        <w:tc>
          <w:tcPr>
            <w:tcW w:w="1162" w:type="dxa"/>
            <w:shd w:val="clear" w:color="auto" w:fill="auto"/>
            <w:vAlign w:val="center"/>
          </w:tcPr>
          <w:p w14:paraId="3DF2E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25" w:type="dxa"/>
            <w:shd w:val="clear" w:color="auto" w:fill="auto"/>
            <w:vAlign w:val="center"/>
          </w:tcPr>
          <w:p w14:paraId="321ED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13" w:type="dxa"/>
            <w:shd w:val="clear" w:color="auto" w:fill="auto"/>
            <w:vAlign w:val="center"/>
          </w:tcPr>
          <w:p w14:paraId="2C53B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662" w:type="dxa"/>
            <w:shd w:val="clear" w:color="auto" w:fill="auto"/>
            <w:vAlign w:val="center"/>
          </w:tcPr>
          <w:p w14:paraId="703AAE8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14:paraId="03B63565">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w:t>
            </w:r>
          </w:p>
        </w:tc>
        <w:tc>
          <w:tcPr>
            <w:tcW w:w="1365" w:type="dxa"/>
            <w:shd w:val="clear" w:color="auto" w:fill="auto"/>
            <w:vAlign w:val="center"/>
          </w:tcPr>
          <w:p w14:paraId="73E019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15元/人份</w:t>
            </w:r>
          </w:p>
        </w:tc>
      </w:tr>
    </w:tbl>
    <w:p w14:paraId="00BBD1F3">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试剂1.png试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试剂1.png试剂1"/>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报名截止时间2026年3月19</w:t>
      </w:r>
      <w:bookmarkStart w:id="0" w:name="_GoBack"/>
      <w:bookmarkEnd w:id="0"/>
      <w:r>
        <w:rPr>
          <w:rFonts w:hint="eastAsia"/>
          <w:color w:val="0000FF"/>
          <w:sz w:val="24"/>
          <w:szCs w:val="24"/>
          <w:highlight w:val="none"/>
          <w:lang w:val="en-US" w:eastAsia="zh-CN"/>
        </w:rPr>
        <w:t>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标书投递截止时间2026年3月19日12时。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用户名单（注明三级以上医院）；近期成交合同或发票复件。</w:t>
      </w:r>
    </w:p>
    <w:p w14:paraId="4CE9583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所投产品的规格参数、性能证明材料等</w:t>
      </w:r>
    </w:p>
    <w:p w14:paraId="4574CC29">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供应商、厂家相关资质（营业执照、经营许可等）。注：多级授权请附各级供应商资质。</w:t>
      </w:r>
    </w:p>
    <w:p w14:paraId="4C5AFC80">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0328CDB6">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所投标产品为省中标产品的请附省平台配送权证明材料（如：平台截图等）。</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2026年检验试剂</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（一）</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950240A"/>
    <w:rsid w:val="1B440A68"/>
    <w:rsid w:val="1BBB4BA7"/>
    <w:rsid w:val="1C436556"/>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2F873C3A"/>
    <w:rsid w:val="308F4F4A"/>
    <w:rsid w:val="32F85377"/>
    <w:rsid w:val="33422DD1"/>
    <w:rsid w:val="334576A7"/>
    <w:rsid w:val="33B0068E"/>
    <w:rsid w:val="34540989"/>
    <w:rsid w:val="35B72A71"/>
    <w:rsid w:val="36057005"/>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2467</Words>
  <Characters>2667</Characters>
  <Lines>0</Lines>
  <Paragraphs>0</Paragraphs>
  <TotalTime>124</TotalTime>
  <ScaleCrop>false</ScaleCrop>
  <LinksUpToDate>false</LinksUpToDate>
  <CharactersWithSpaces>3060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2026-03-12T06:25:08Z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