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2025年一次性材料</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公告（补充）</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一批一次性材料（非医疗器械）进行遴选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一次性材料</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本次遴选服务期为</w:t>
      </w:r>
      <w:r>
        <w:rPr>
          <w:rFonts w:hint="eastAsia" w:ascii="宋体" w:hAnsi="宋体" w:cs="Arial"/>
          <w:b/>
          <w:bCs/>
          <w:kern w:val="2"/>
          <w:sz w:val="24"/>
          <w:szCs w:val="24"/>
          <w:highlight w:val="none"/>
          <w:lang w:val="en-US" w:eastAsia="zh-CN" w:bidi="ar-SA"/>
        </w:rPr>
        <w:t>2026-2027两个年度</w:t>
      </w:r>
      <w:r>
        <w:rPr>
          <w:rFonts w:hint="eastAsia" w:ascii="宋体" w:hAnsi="宋体" w:cs="Arial"/>
          <w:kern w:val="2"/>
          <w:sz w:val="24"/>
          <w:szCs w:val="24"/>
          <w:highlight w:val="none"/>
          <w:lang w:val="en-US" w:eastAsia="zh-CN" w:bidi="ar-SA"/>
        </w:rPr>
        <w:t>。本项目所有标段设有预算单价，要求同规格产品，投标人报价不得高于预算单价</w:t>
      </w:r>
    </w:p>
    <w:p w14:paraId="7AF7FBF4">
      <w:pPr>
        <w:pStyle w:val="15"/>
        <w:bidi w:val="0"/>
        <w:ind w:left="0" w:leftChars="0" w:firstLine="0" w:firstLineChars="0"/>
        <w:rPr>
          <w:rFonts w:hint="default"/>
          <w:sz w:val="24"/>
          <w:szCs w:val="24"/>
          <w:highlight w:val="none"/>
          <w:lang w:val="en-US" w:eastAsia="zh-CN"/>
        </w:rPr>
      </w:pPr>
    </w:p>
    <w:tbl>
      <w:tblPr>
        <w:tblStyle w:val="10"/>
        <w:tblpPr w:leftFromText="180" w:rightFromText="180" w:vertAnchor="text" w:horzAnchor="page" w:tblpX="1643" w:tblpY="398"/>
        <w:tblOverlap w:val="never"/>
        <w:tblW w:w="5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2009"/>
        <w:gridCol w:w="2301"/>
        <w:gridCol w:w="867"/>
        <w:gridCol w:w="1290"/>
        <w:gridCol w:w="1790"/>
      </w:tblGrid>
      <w:tr w14:paraId="7A68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428" w:type="pct"/>
            <w:shd w:val="clear" w:color="auto" w:fill="auto"/>
            <w:vAlign w:val="center"/>
          </w:tcPr>
          <w:p w14:paraId="14C2DBF7">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项目</w:t>
            </w:r>
          </w:p>
        </w:tc>
        <w:tc>
          <w:tcPr>
            <w:tcW w:w="1112" w:type="pct"/>
            <w:shd w:val="clear" w:color="auto" w:fill="auto"/>
            <w:vAlign w:val="center"/>
          </w:tcPr>
          <w:p w14:paraId="59A62947">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物资名称</w:t>
            </w:r>
          </w:p>
        </w:tc>
        <w:tc>
          <w:tcPr>
            <w:tcW w:w="1274" w:type="pct"/>
            <w:shd w:val="clear" w:color="auto" w:fill="auto"/>
            <w:vAlign w:val="center"/>
          </w:tcPr>
          <w:p w14:paraId="26AC0F86">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规格型号</w:t>
            </w:r>
          </w:p>
        </w:tc>
        <w:tc>
          <w:tcPr>
            <w:tcW w:w="480" w:type="pct"/>
            <w:shd w:val="clear" w:color="auto" w:fill="auto"/>
            <w:vAlign w:val="center"/>
          </w:tcPr>
          <w:p w14:paraId="1227FBE5">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单位</w:t>
            </w:r>
          </w:p>
        </w:tc>
        <w:tc>
          <w:tcPr>
            <w:tcW w:w="714" w:type="pct"/>
            <w:shd w:val="clear" w:color="auto" w:fill="auto"/>
            <w:vAlign w:val="center"/>
          </w:tcPr>
          <w:p w14:paraId="0A1E9020">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预算/元</w:t>
            </w:r>
          </w:p>
        </w:tc>
        <w:tc>
          <w:tcPr>
            <w:tcW w:w="991" w:type="pct"/>
            <w:shd w:val="clear" w:color="auto" w:fill="auto"/>
            <w:vAlign w:val="center"/>
          </w:tcPr>
          <w:p w14:paraId="08EE3399">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备注</w:t>
            </w:r>
          </w:p>
        </w:tc>
      </w:tr>
      <w:tr w14:paraId="39D2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17062621">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1</w:t>
            </w:r>
          </w:p>
        </w:tc>
        <w:tc>
          <w:tcPr>
            <w:tcW w:w="1112" w:type="pct"/>
            <w:shd w:val="clear" w:color="auto" w:fill="auto"/>
            <w:vAlign w:val="center"/>
          </w:tcPr>
          <w:p w14:paraId="6E88237D">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空锅测试灭菌化学指示物（用于</w:t>
            </w:r>
            <w:bookmarkStart w:id="0" w:name="_GoBack"/>
            <w:bookmarkEnd w:id="0"/>
            <w:r>
              <w:rPr>
                <w:rFonts w:hint="eastAsia" w:ascii="宋体" w:hAnsi="宋体" w:cs="Arial"/>
                <w:color w:val="auto"/>
                <w:kern w:val="2"/>
                <w:sz w:val="22"/>
                <w:szCs w:val="22"/>
                <w:highlight w:val="none"/>
                <w:lang w:val="en-US" w:eastAsia="zh-CN" w:bidi="ar-SA"/>
              </w:rPr>
              <w:t>BD）</w:t>
            </w:r>
          </w:p>
        </w:tc>
        <w:tc>
          <w:tcPr>
            <w:tcW w:w="1274" w:type="pct"/>
            <w:shd w:val="clear" w:color="auto" w:fill="auto"/>
            <w:vAlign w:val="center"/>
          </w:tcPr>
          <w:p w14:paraId="251D1D2E">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五类卡</w:t>
            </w:r>
          </w:p>
        </w:tc>
        <w:tc>
          <w:tcPr>
            <w:tcW w:w="480" w:type="pct"/>
            <w:shd w:val="clear" w:color="auto" w:fill="auto"/>
            <w:vAlign w:val="center"/>
          </w:tcPr>
          <w:p w14:paraId="2F7FF3E5">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条</w:t>
            </w:r>
          </w:p>
        </w:tc>
        <w:tc>
          <w:tcPr>
            <w:tcW w:w="714" w:type="pct"/>
            <w:shd w:val="clear" w:color="auto" w:fill="auto"/>
            <w:vAlign w:val="center"/>
          </w:tcPr>
          <w:p w14:paraId="00D9B7AB">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38</w:t>
            </w:r>
          </w:p>
        </w:tc>
        <w:tc>
          <w:tcPr>
            <w:tcW w:w="991" w:type="pct"/>
            <w:vMerge w:val="restart"/>
            <w:shd w:val="clear" w:color="auto" w:fill="auto"/>
            <w:vAlign w:val="center"/>
          </w:tcPr>
          <w:p w14:paraId="029BDA8C">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用于高温高压灭菌器管腔测试；需配置3套管腔测试系统。</w:t>
            </w:r>
          </w:p>
        </w:tc>
      </w:tr>
      <w:tr w14:paraId="4F6A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58651C81">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2</w:t>
            </w:r>
          </w:p>
        </w:tc>
        <w:tc>
          <w:tcPr>
            <w:tcW w:w="1112" w:type="pct"/>
            <w:shd w:val="clear" w:color="auto" w:fill="auto"/>
            <w:vAlign w:val="center"/>
          </w:tcPr>
          <w:p w14:paraId="54B7C8E0">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批量监测灭菌化学指示物（用于PCD）</w:t>
            </w:r>
          </w:p>
        </w:tc>
        <w:tc>
          <w:tcPr>
            <w:tcW w:w="1274" w:type="pct"/>
            <w:shd w:val="clear" w:color="auto" w:fill="auto"/>
            <w:vAlign w:val="center"/>
          </w:tcPr>
          <w:p w14:paraId="32C4DF6A">
            <w:pPr>
              <w:keepNext w:val="0"/>
              <w:keepLines w:val="0"/>
              <w:widowControl/>
              <w:suppressLineNumbers w:val="0"/>
              <w:jc w:val="center"/>
              <w:textAlignment w:val="center"/>
              <w:rPr>
                <w:rFonts w:hint="default"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五类卡</w:t>
            </w:r>
          </w:p>
        </w:tc>
        <w:tc>
          <w:tcPr>
            <w:tcW w:w="480" w:type="pct"/>
            <w:shd w:val="clear" w:color="auto" w:fill="auto"/>
            <w:vAlign w:val="center"/>
          </w:tcPr>
          <w:p w14:paraId="5D84A105">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条</w:t>
            </w:r>
          </w:p>
        </w:tc>
        <w:tc>
          <w:tcPr>
            <w:tcW w:w="714" w:type="pct"/>
            <w:shd w:val="clear" w:color="auto" w:fill="auto"/>
            <w:vAlign w:val="center"/>
          </w:tcPr>
          <w:p w14:paraId="36BA0FC8">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26</w:t>
            </w:r>
          </w:p>
        </w:tc>
        <w:tc>
          <w:tcPr>
            <w:tcW w:w="991" w:type="pct"/>
            <w:vMerge w:val="continue"/>
            <w:shd w:val="clear" w:color="auto" w:fill="auto"/>
            <w:vAlign w:val="center"/>
          </w:tcPr>
          <w:p w14:paraId="0C41661B">
            <w:pPr>
              <w:keepNext w:val="0"/>
              <w:keepLines w:val="0"/>
              <w:widowControl/>
              <w:suppressLineNumbers w:val="0"/>
              <w:jc w:val="center"/>
              <w:textAlignment w:val="center"/>
              <w:rPr>
                <w:rFonts w:hint="eastAsia" w:ascii="宋体" w:hAnsi="宋体" w:cs="Arial"/>
                <w:color w:val="auto"/>
                <w:kern w:val="2"/>
                <w:sz w:val="22"/>
                <w:szCs w:val="22"/>
                <w:highlight w:val="none"/>
                <w:lang w:val="en-US" w:eastAsia="zh-CN" w:bidi="ar-SA"/>
              </w:rPr>
            </w:pPr>
          </w:p>
        </w:tc>
      </w:tr>
    </w:tbl>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1875790</wp:posOffset>
            </wp:positionH>
            <wp:positionV relativeFrom="paragraph">
              <wp:posOffset>894080</wp:posOffset>
            </wp:positionV>
            <wp:extent cx="1433195" cy="1433195"/>
            <wp:effectExtent l="0" t="0" r="14605" b="14605"/>
            <wp:wrapTopAndBottom/>
            <wp:docPr id="1" name="图片 1" descr="C:/Users/Lenovo/Desktop/bdpcd.pngbdp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bdpcd.pngbdpcd"/>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报名截止时间2026年1月22日12时。</w:t>
      </w:r>
    </w:p>
    <w:p w14:paraId="38ED297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标书投递截止时间2026年1月22日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产品性能检测报告；</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（5）</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2：《标书封面格式》</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710"/>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规格型号</w:t>
            </w:r>
          </w:p>
        </w:tc>
        <w:tc>
          <w:tcPr>
            <w:tcW w:w="1710"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价格/元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710" w:type="dxa"/>
            <w:noWrap w:val="0"/>
            <w:vAlign w:val="center"/>
          </w:tcPr>
          <w:p w14:paraId="1ACA2C45">
            <w:pPr>
              <w:jc w:val="center"/>
              <w:rPr>
                <w:rFonts w:ascii="Times New Roman" w:hAnsi="Times New Roman"/>
                <w:sz w:val="24"/>
                <w:highlight w:val="none"/>
              </w:rPr>
            </w:pPr>
          </w:p>
        </w:tc>
        <w:tc>
          <w:tcPr>
            <w:tcW w:w="1315"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710" w:type="dxa"/>
            <w:noWrap w:val="0"/>
            <w:vAlign w:val="center"/>
          </w:tcPr>
          <w:p w14:paraId="28E51A44">
            <w:pPr>
              <w:jc w:val="center"/>
              <w:rPr>
                <w:rFonts w:ascii="Times New Roman" w:hAnsi="Times New Roman"/>
                <w:sz w:val="24"/>
                <w:highlight w:val="none"/>
              </w:rPr>
            </w:pPr>
          </w:p>
        </w:tc>
        <w:tc>
          <w:tcPr>
            <w:tcW w:w="1315"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7131A90">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2025年一次性材料</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公告（补充）</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物资名称：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100D371A"/>
    <w:rsid w:val="10891797"/>
    <w:rsid w:val="139A6490"/>
    <w:rsid w:val="14041381"/>
    <w:rsid w:val="15756138"/>
    <w:rsid w:val="15FF7773"/>
    <w:rsid w:val="16065A3D"/>
    <w:rsid w:val="16EB42BE"/>
    <w:rsid w:val="171929B6"/>
    <w:rsid w:val="191666DA"/>
    <w:rsid w:val="1B440A68"/>
    <w:rsid w:val="1BBB4BA7"/>
    <w:rsid w:val="1C436556"/>
    <w:rsid w:val="1C7C316C"/>
    <w:rsid w:val="1CD019C7"/>
    <w:rsid w:val="1F615A66"/>
    <w:rsid w:val="229D54E1"/>
    <w:rsid w:val="2314720F"/>
    <w:rsid w:val="238B5D7E"/>
    <w:rsid w:val="23C251FB"/>
    <w:rsid w:val="25F12CC1"/>
    <w:rsid w:val="288A0B19"/>
    <w:rsid w:val="28BA035D"/>
    <w:rsid w:val="2A677CA8"/>
    <w:rsid w:val="2A800285"/>
    <w:rsid w:val="2C7D1A05"/>
    <w:rsid w:val="2EDC4D1F"/>
    <w:rsid w:val="308F4F4A"/>
    <w:rsid w:val="3344210A"/>
    <w:rsid w:val="334576A7"/>
    <w:rsid w:val="34F54AD0"/>
    <w:rsid w:val="35B72A71"/>
    <w:rsid w:val="387F2677"/>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96F0BFB"/>
    <w:rsid w:val="49DE4271"/>
    <w:rsid w:val="4CEB2D8A"/>
    <w:rsid w:val="4E4D4129"/>
    <w:rsid w:val="4E7C3EB0"/>
    <w:rsid w:val="502045C6"/>
    <w:rsid w:val="514366CA"/>
    <w:rsid w:val="521712F5"/>
    <w:rsid w:val="532209BB"/>
    <w:rsid w:val="53C0404C"/>
    <w:rsid w:val="54215166"/>
    <w:rsid w:val="54786EE6"/>
    <w:rsid w:val="566C06B8"/>
    <w:rsid w:val="570C5CDB"/>
    <w:rsid w:val="58483B22"/>
    <w:rsid w:val="584F2744"/>
    <w:rsid w:val="58663D22"/>
    <w:rsid w:val="588A37EC"/>
    <w:rsid w:val="58E41C60"/>
    <w:rsid w:val="591E4639"/>
    <w:rsid w:val="5A271DD8"/>
    <w:rsid w:val="5A731BCE"/>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1783742"/>
    <w:rsid w:val="736C5159"/>
    <w:rsid w:val="74116696"/>
    <w:rsid w:val="74DA48CB"/>
    <w:rsid w:val="79AD2DE0"/>
    <w:rsid w:val="7A95260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character" w:customStyle="1" w:styleId="20">
    <w:name w:val="font21"/>
    <w:basedOn w:val="1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2067</Words>
  <Characters>2508</Characters>
  <Lines>0</Lines>
  <Paragraphs>0</Paragraphs>
  <TotalTime>25</TotalTime>
  <ScaleCrop>false</ScaleCrop>
  <LinksUpToDate>false</LinksUpToDate>
  <CharactersWithSpaces>2890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2024-12-23T07:14:00Z</cp:lastPrinted>
  <dcterms:modified xsi:type="dcterms:W3CDTF">2026-01-15T08:28:33Z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