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环氧乙烷包内化学指示卡重新</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cs="Arial"/>
          <w:sz w:val="24"/>
          <w:szCs w:val="24"/>
          <w:highlight w:val="none"/>
          <w:lang w:val="en-US" w:eastAsia="zh-CN"/>
        </w:rPr>
        <w:t>因环氧乙烷包内化学指示卡原供应商因故终止原供货合同</w:t>
      </w:r>
      <w:r>
        <w:rPr>
          <w:rFonts w:hint="eastAsia" w:ascii="宋体" w:hAnsi="宋体" w:eastAsia="宋体" w:cs="Arial"/>
          <w:sz w:val="24"/>
          <w:szCs w:val="24"/>
          <w:highlight w:val="none"/>
        </w:rPr>
        <w:t>，现对义乌市中心医院</w:t>
      </w:r>
      <w:r>
        <w:rPr>
          <w:rFonts w:hint="eastAsia" w:ascii="宋体" w:hAnsi="宋体" w:cs="Arial"/>
          <w:sz w:val="24"/>
          <w:szCs w:val="24"/>
          <w:highlight w:val="none"/>
          <w:lang w:val="en-US" w:eastAsia="zh-CN"/>
        </w:rPr>
        <w:t>环氧乙烷包内化学指示卡</w:t>
      </w:r>
      <w:r>
        <w:rPr>
          <w:rFonts w:hint="eastAsia"/>
          <w:b w:val="0"/>
          <w:bCs w:val="0"/>
          <w:sz w:val="24"/>
          <w:szCs w:val="24"/>
          <w:highlight w:val="none"/>
          <w:lang w:val="en-US" w:eastAsia="zh-CN"/>
        </w:rPr>
        <w:t>进行重新遴选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tbl>
      <w:tblPr>
        <w:tblStyle w:val="10"/>
        <w:tblpPr w:leftFromText="180" w:rightFromText="180" w:vertAnchor="text" w:horzAnchor="page" w:tblpXSpec="center" w:tblpY="256"/>
        <w:tblOverlap w:val="never"/>
        <w:tblW w:w="53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3"/>
        <w:gridCol w:w="1847"/>
        <w:gridCol w:w="2626"/>
        <w:gridCol w:w="938"/>
        <w:gridCol w:w="1475"/>
        <w:gridCol w:w="1371"/>
      </w:tblGrid>
      <w:tr w14:paraId="304B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jc w:val="center"/>
        </w:trPr>
        <w:tc>
          <w:tcPr>
            <w:tcW w:w="428" w:type="pct"/>
            <w:shd w:val="clear" w:color="auto" w:fill="auto"/>
            <w:vAlign w:val="center"/>
          </w:tcPr>
          <w:p w14:paraId="12639E00">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序号</w:t>
            </w:r>
          </w:p>
        </w:tc>
        <w:tc>
          <w:tcPr>
            <w:tcW w:w="1022" w:type="pct"/>
            <w:shd w:val="clear" w:color="auto" w:fill="auto"/>
            <w:vAlign w:val="center"/>
          </w:tcPr>
          <w:p w14:paraId="60401A9A">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物资名称</w:t>
            </w:r>
          </w:p>
        </w:tc>
        <w:tc>
          <w:tcPr>
            <w:tcW w:w="1454" w:type="pct"/>
            <w:shd w:val="clear" w:color="auto" w:fill="auto"/>
            <w:vAlign w:val="center"/>
          </w:tcPr>
          <w:p w14:paraId="53A5D643">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要求</w:t>
            </w:r>
          </w:p>
        </w:tc>
        <w:tc>
          <w:tcPr>
            <w:tcW w:w="519" w:type="pct"/>
            <w:shd w:val="clear" w:color="auto" w:fill="auto"/>
            <w:vAlign w:val="center"/>
          </w:tcPr>
          <w:p w14:paraId="50CC35FA">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单位</w:t>
            </w:r>
          </w:p>
        </w:tc>
        <w:tc>
          <w:tcPr>
            <w:tcW w:w="816" w:type="pct"/>
            <w:shd w:val="clear" w:color="auto" w:fill="auto"/>
            <w:vAlign w:val="center"/>
          </w:tcPr>
          <w:p w14:paraId="54D34D4A">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预算/元</w:t>
            </w:r>
          </w:p>
        </w:tc>
        <w:tc>
          <w:tcPr>
            <w:tcW w:w="759" w:type="pct"/>
            <w:shd w:val="clear" w:color="auto" w:fill="auto"/>
            <w:vAlign w:val="center"/>
          </w:tcPr>
          <w:p w14:paraId="43B27D29">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备注</w:t>
            </w:r>
          </w:p>
        </w:tc>
      </w:tr>
      <w:tr w14:paraId="5FCE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28" w:type="pct"/>
            <w:shd w:val="clear" w:color="auto" w:fill="auto"/>
            <w:vAlign w:val="center"/>
          </w:tcPr>
          <w:p w14:paraId="6240FB54">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Arial"/>
                <w:color w:val="auto"/>
                <w:kern w:val="2"/>
                <w:sz w:val="22"/>
                <w:szCs w:val="22"/>
                <w:highlight w:val="none"/>
                <w:lang w:val="en-US" w:eastAsia="zh-CN" w:bidi="ar-SA"/>
              </w:rPr>
              <w:t>1</w:t>
            </w:r>
          </w:p>
        </w:tc>
        <w:tc>
          <w:tcPr>
            <w:tcW w:w="1022" w:type="pct"/>
            <w:shd w:val="clear" w:color="auto" w:fill="auto"/>
            <w:vAlign w:val="center"/>
          </w:tcPr>
          <w:p w14:paraId="6F161394">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r>
              <w:rPr>
                <w:rFonts w:hint="eastAsia" w:ascii="宋体" w:hAnsi="宋体" w:cs="Arial"/>
                <w:sz w:val="24"/>
                <w:szCs w:val="24"/>
                <w:highlight w:val="none"/>
                <w:lang w:val="en-US" w:eastAsia="zh-CN"/>
              </w:rPr>
              <w:t>环氧乙烷包内化学指示卡</w:t>
            </w:r>
          </w:p>
        </w:tc>
        <w:tc>
          <w:tcPr>
            <w:tcW w:w="1454" w:type="pct"/>
            <w:shd w:val="clear" w:color="auto" w:fill="auto"/>
            <w:vAlign w:val="center"/>
          </w:tcPr>
          <w:p w14:paraId="03B79E38">
            <w:pPr>
              <w:keepNext w:val="0"/>
              <w:keepLines w:val="0"/>
              <w:widowControl/>
              <w:numPr>
                <w:ilvl w:val="0"/>
                <w:numId w:val="2"/>
              </w:numPr>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四类卡及以上</w:t>
            </w:r>
          </w:p>
          <w:p w14:paraId="58CD0C3E">
            <w:pPr>
              <w:keepNext w:val="0"/>
              <w:keepLines w:val="0"/>
              <w:widowControl/>
              <w:numPr>
                <w:ilvl w:val="0"/>
                <w:numId w:val="2"/>
              </w:numPr>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监测参数：</w:t>
            </w:r>
            <w:r>
              <w:rPr>
                <w:rFonts w:hint="default" w:ascii="宋体" w:hAnsi="宋体" w:cs="宋体"/>
                <w:i w:val="0"/>
                <w:iCs w:val="0"/>
                <w:color w:val="000000"/>
                <w:kern w:val="0"/>
                <w:sz w:val="22"/>
                <w:szCs w:val="22"/>
                <w:u w:val="none"/>
                <w:lang w:val="en-US" w:eastAsia="zh-CN" w:bidi="ar"/>
              </w:rPr>
              <w:t>环氧乙烷浓度600mg/L</w:t>
            </w:r>
            <w:r>
              <w:rPr>
                <w:rFonts w:hint="eastAsia" w:ascii="宋体" w:hAnsi="宋体" w:cs="宋体"/>
                <w:i w:val="0"/>
                <w:iCs w:val="0"/>
                <w:color w:val="000000"/>
                <w:kern w:val="0"/>
                <w:sz w:val="22"/>
                <w:szCs w:val="22"/>
                <w:u w:val="none"/>
                <w:lang w:val="en-US" w:eastAsia="zh-CN" w:bidi="ar"/>
              </w:rPr>
              <w:t>；</w:t>
            </w:r>
            <w:r>
              <w:rPr>
                <w:rFonts w:hint="default" w:ascii="宋体" w:hAnsi="宋体" w:cs="宋体"/>
                <w:i w:val="0"/>
                <w:iCs w:val="0"/>
                <w:color w:val="000000"/>
                <w:kern w:val="0"/>
                <w:sz w:val="22"/>
                <w:szCs w:val="22"/>
                <w:u w:val="none"/>
                <w:lang w:val="en-US" w:eastAsia="zh-CN" w:bidi="ar"/>
              </w:rPr>
              <w:t>温度54</w:t>
            </w:r>
            <w:r>
              <w:rPr>
                <w:rFonts w:hint="eastAsia" w:ascii="宋体" w:hAnsi="宋体" w:cs="宋体"/>
                <w:i w:val="0"/>
                <w:iCs w:val="0"/>
                <w:color w:val="000000"/>
                <w:kern w:val="0"/>
                <w:sz w:val="22"/>
                <w:szCs w:val="22"/>
                <w:u w:val="none"/>
                <w:lang w:val="en-US" w:eastAsia="zh-CN" w:bidi="ar"/>
              </w:rPr>
              <w:t>℃±</w:t>
            </w:r>
            <w:r>
              <w:rPr>
                <w:rFonts w:hint="default" w:ascii="宋体" w:hAnsi="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default" w:ascii="宋体" w:hAnsi="宋体" w:cs="宋体"/>
                <w:i w:val="0"/>
                <w:iCs w:val="0"/>
                <w:color w:val="000000"/>
                <w:kern w:val="0"/>
                <w:sz w:val="22"/>
                <w:szCs w:val="22"/>
                <w:u w:val="none"/>
                <w:lang w:val="en-US" w:eastAsia="zh-CN" w:bidi="ar"/>
              </w:rPr>
              <w:t>湿度60%</w:t>
            </w:r>
            <w:r>
              <w:rPr>
                <w:rFonts w:hint="eastAsia" w:ascii="宋体" w:hAnsi="宋体" w:cs="宋体"/>
                <w:i w:val="0"/>
                <w:iCs w:val="0"/>
                <w:color w:val="000000"/>
                <w:kern w:val="0"/>
                <w:sz w:val="22"/>
                <w:szCs w:val="22"/>
                <w:u w:val="none"/>
                <w:lang w:val="en-US" w:eastAsia="zh-CN" w:bidi="ar"/>
              </w:rPr>
              <w:t>±</w:t>
            </w:r>
            <w:r>
              <w:rPr>
                <w:rFonts w:hint="default" w:ascii="宋体" w:hAnsi="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w:t>
            </w:r>
            <w:r>
              <w:rPr>
                <w:rFonts w:hint="default" w:ascii="宋体" w:hAnsi="宋体" w:cs="宋体"/>
                <w:i w:val="0"/>
                <w:iCs w:val="0"/>
                <w:color w:val="000000"/>
                <w:kern w:val="0"/>
                <w:sz w:val="22"/>
                <w:szCs w:val="22"/>
                <w:u w:val="none"/>
                <w:lang w:val="en-US" w:eastAsia="zh-CN" w:bidi="ar"/>
              </w:rPr>
              <w:t>作用时间60分钟</w:t>
            </w:r>
          </w:p>
        </w:tc>
        <w:tc>
          <w:tcPr>
            <w:tcW w:w="519" w:type="pct"/>
            <w:shd w:val="clear" w:color="auto" w:fill="auto"/>
            <w:vAlign w:val="center"/>
          </w:tcPr>
          <w:p w14:paraId="206B519F">
            <w:pPr>
              <w:keepNext w:val="0"/>
              <w:keepLines w:val="0"/>
              <w:widowControl/>
              <w:suppressLineNumbers w:val="0"/>
              <w:jc w:val="center"/>
              <w:textAlignment w:val="center"/>
              <w:rPr>
                <w:rFonts w:hint="eastAsia" w:ascii="宋体" w:hAnsi="宋体" w:eastAsia="宋体" w:cs="Arial"/>
                <w:color w:val="auto"/>
                <w:kern w:val="2"/>
                <w:sz w:val="22"/>
                <w:szCs w:val="22"/>
                <w:highlight w:val="none"/>
                <w:lang w:val="en-US" w:eastAsia="zh-CN" w:bidi="ar-SA"/>
              </w:rPr>
            </w:pPr>
            <w:r>
              <w:rPr>
                <w:rFonts w:hint="eastAsia" w:ascii="宋体" w:hAnsi="宋体" w:cs="宋体"/>
                <w:i w:val="0"/>
                <w:iCs w:val="0"/>
                <w:color w:val="000000"/>
                <w:kern w:val="0"/>
                <w:sz w:val="22"/>
                <w:szCs w:val="22"/>
                <w:u w:val="none"/>
                <w:lang w:val="en-US" w:eastAsia="zh-CN" w:bidi="ar"/>
              </w:rPr>
              <w:t>张</w:t>
            </w:r>
          </w:p>
        </w:tc>
        <w:tc>
          <w:tcPr>
            <w:tcW w:w="816" w:type="pct"/>
            <w:shd w:val="clear" w:color="auto" w:fill="auto"/>
            <w:vAlign w:val="center"/>
          </w:tcPr>
          <w:p w14:paraId="12992155">
            <w:pPr>
              <w:keepNext w:val="0"/>
              <w:keepLines w:val="0"/>
              <w:widowControl/>
              <w:suppressLineNumbers w:val="0"/>
              <w:jc w:val="center"/>
              <w:textAlignment w:val="center"/>
              <w:rPr>
                <w:rFonts w:hint="default" w:ascii="宋体" w:hAnsi="宋体" w:eastAsia="宋体" w:cs="Arial"/>
                <w:color w:val="auto"/>
                <w:kern w:val="2"/>
                <w:sz w:val="22"/>
                <w:szCs w:val="22"/>
                <w:highlight w:val="none"/>
                <w:lang w:val="en-US" w:eastAsia="zh-CN" w:bidi="ar-SA"/>
              </w:rPr>
            </w:pPr>
            <w:r>
              <w:rPr>
                <w:rFonts w:hint="eastAsia" w:ascii="宋体" w:hAnsi="宋体" w:cs="宋体"/>
                <w:i w:val="0"/>
                <w:iCs w:val="0"/>
                <w:color w:val="000000"/>
                <w:kern w:val="0"/>
                <w:sz w:val="22"/>
                <w:szCs w:val="22"/>
                <w:u w:val="none"/>
                <w:lang w:val="en-US" w:eastAsia="zh-CN" w:bidi="ar"/>
              </w:rPr>
              <w:t>1.4</w:t>
            </w:r>
          </w:p>
        </w:tc>
        <w:tc>
          <w:tcPr>
            <w:tcW w:w="759" w:type="pct"/>
            <w:shd w:val="clear" w:color="auto" w:fill="auto"/>
            <w:vAlign w:val="center"/>
          </w:tcPr>
          <w:p w14:paraId="772AC6DF">
            <w:pPr>
              <w:keepNext w:val="0"/>
              <w:keepLines w:val="0"/>
              <w:widowControl/>
              <w:suppressLineNumbers w:val="0"/>
              <w:jc w:val="both"/>
              <w:textAlignment w:val="center"/>
              <w:rPr>
                <w:rFonts w:hint="default" w:ascii="宋体" w:hAnsi="宋体" w:eastAsia="宋体" w:cs="Arial"/>
                <w:color w:val="auto"/>
                <w:kern w:val="2"/>
                <w:sz w:val="22"/>
                <w:szCs w:val="22"/>
                <w:highlight w:val="none"/>
                <w:lang w:val="en-US" w:eastAsia="zh-CN" w:bidi="ar-SA"/>
              </w:rPr>
            </w:pPr>
          </w:p>
        </w:tc>
      </w:tr>
    </w:tbl>
    <w:p w14:paraId="72304333">
      <w:pPr>
        <w:pStyle w:val="15"/>
        <w:bidi w:val="0"/>
        <w:ind w:left="0" w:leftChars="0" w:firstLine="0" w:firstLineChars="0"/>
        <w:rPr>
          <w:rFonts w:hint="default"/>
          <w:sz w:val="24"/>
          <w:szCs w:val="24"/>
          <w:highlight w:val="none"/>
          <w:lang w:val="en-US" w:eastAsia="zh-CN"/>
        </w:rPr>
      </w:pPr>
    </w:p>
    <w:p w14:paraId="7AF7FBF4">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本次投标无需另外报名，以标书投递为准。</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标书投递截止时间2025年9月4</w:t>
      </w:r>
      <w:bookmarkStart w:id="0" w:name="_GoBack"/>
      <w:bookmarkEnd w:id="0"/>
      <w:r>
        <w:rPr>
          <w:rFonts w:hint="eastAsia"/>
          <w:color w:val="0000FF"/>
          <w:sz w:val="24"/>
          <w:szCs w:val="24"/>
          <w:highlight w:val="none"/>
          <w:lang w:val="en-US" w:eastAsia="zh-CN"/>
        </w:rPr>
        <w:t>日 17时。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default"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产品性能检测报告；</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（5）</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default"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2：《标书封面格式》</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766"/>
        <w:gridCol w:w="1209"/>
        <w:gridCol w:w="1810"/>
        <w:gridCol w:w="1710"/>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766"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物资</w:t>
            </w:r>
            <w:r>
              <w:rPr>
                <w:rFonts w:ascii="Times New Roman" w:hAnsi="Times New Roman"/>
                <w:sz w:val="24"/>
                <w:highlight w:val="none"/>
              </w:rPr>
              <w:t>名称</w:t>
            </w:r>
          </w:p>
        </w:tc>
        <w:tc>
          <w:tcPr>
            <w:tcW w:w="120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1810" w:type="dxa"/>
            <w:noWrap w:val="0"/>
            <w:vAlign w:val="center"/>
          </w:tcPr>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规格型号</w:t>
            </w:r>
          </w:p>
        </w:tc>
        <w:tc>
          <w:tcPr>
            <w:tcW w:w="1710" w:type="dxa"/>
            <w:noWrap w:val="0"/>
            <w:vAlign w:val="center"/>
          </w:tcPr>
          <w:p w14:paraId="18C1D162">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单位</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价格/元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766" w:type="dxa"/>
            <w:noWrap w:val="0"/>
            <w:vAlign w:val="center"/>
          </w:tcPr>
          <w:p w14:paraId="31E5E5A4">
            <w:pPr>
              <w:jc w:val="center"/>
              <w:rPr>
                <w:rFonts w:ascii="Times New Roman" w:hAnsi="Times New Roman"/>
                <w:sz w:val="24"/>
                <w:highlight w:val="none"/>
              </w:rPr>
            </w:pPr>
          </w:p>
        </w:tc>
        <w:tc>
          <w:tcPr>
            <w:tcW w:w="1209" w:type="dxa"/>
            <w:noWrap w:val="0"/>
            <w:vAlign w:val="center"/>
          </w:tcPr>
          <w:p w14:paraId="663A5C27">
            <w:pPr>
              <w:jc w:val="center"/>
              <w:rPr>
                <w:rFonts w:ascii="Times New Roman" w:hAnsi="Times New Roman"/>
                <w:sz w:val="24"/>
                <w:highlight w:val="none"/>
              </w:rPr>
            </w:pPr>
          </w:p>
        </w:tc>
        <w:tc>
          <w:tcPr>
            <w:tcW w:w="1810" w:type="dxa"/>
            <w:noWrap w:val="0"/>
            <w:vAlign w:val="center"/>
          </w:tcPr>
          <w:p w14:paraId="71152528">
            <w:pPr>
              <w:jc w:val="center"/>
              <w:rPr>
                <w:rFonts w:ascii="Times New Roman" w:hAnsi="Times New Roman"/>
                <w:sz w:val="24"/>
                <w:highlight w:val="none"/>
              </w:rPr>
            </w:pPr>
          </w:p>
        </w:tc>
        <w:tc>
          <w:tcPr>
            <w:tcW w:w="1710" w:type="dxa"/>
            <w:noWrap w:val="0"/>
            <w:vAlign w:val="center"/>
          </w:tcPr>
          <w:p w14:paraId="1ACA2C45">
            <w:pPr>
              <w:jc w:val="center"/>
              <w:rPr>
                <w:rFonts w:ascii="Times New Roman" w:hAnsi="Times New Roman"/>
                <w:sz w:val="24"/>
                <w:highlight w:val="none"/>
              </w:rPr>
            </w:pPr>
          </w:p>
        </w:tc>
        <w:tc>
          <w:tcPr>
            <w:tcW w:w="1315" w:type="dxa"/>
            <w:noWrap w:val="0"/>
            <w:vAlign w:val="center"/>
          </w:tcPr>
          <w:p w14:paraId="4C8F6234">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766" w:type="dxa"/>
            <w:noWrap w:val="0"/>
            <w:vAlign w:val="center"/>
          </w:tcPr>
          <w:p w14:paraId="3249CD60">
            <w:pPr>
              <w:jc w:val="center"/>
              <w:rPr>
                <w:rFonts w:ascii="Times New Roman" w:hAnsi="Times New Roman"/>
                <w:sz w:val="24"/>
                <w:highlight w:val="none"/>
              </w:rPr>
            </w:pPr>
          </w:p>
        </w:tc>
        <w:tc>
          <w:tcPr>
            <w:tcW w:w="1209" w:type="dxa"/>
            <w:noWrap w:val="0"/>
            <w:vAlign w:val="center"/>
          </w:tcPr>
          <w:p w14:paraId="03167B73">
            <w:pPr>
              <w:jc w:val="center"/>
              <w:rPr>
                <w:rFonts w:ascii="Times New Roman" w:hAnsi="Times New Roman"/>
                <w:sz w:val="24"/>
                <w:highlight w:val="none"/>
              </w:rPr>
            </w:pPr>
          </w:p>
        </w:tc>
        <w:tc>
          <w:tcPr>
            <w:tcW w:w="1810" w:type="dxa"/>
            <w:noWrap w:val="0"/>
            <w:vAlign w:val="center"/>
          </w:tcPr>
          <w:p w14:paraId="2AA3E24E">
            <w:pPr>
              <w:jc w:val="center"/>
              <w:rPr>
                <w:rFonts w:ascii="Times New Roman" w:hAnsi="Times New Roman"/>
                <w:sz w:val="24"/>
                <w:highlight w:val="none"/>
              </w:rPr>
            </w:pPr>
          </w:p>
        </w:tc>
        <w:tc>
          <w:tcPr>
            <w:tcW w:w="1710" w:type="dxa"/>
            <w:noWrap w:val="0"/>
            <w:vAlign w:val="center"/>
          </w:tcPr>
          <w:p w14:paraId="28E51A44">
            <w:pPr>
              <w:jc w:val="center"/>
              <w:rPr>
                <w:rFonts w:ascii="Times New Roman" w:hAnsi="Times New Roman"/>
                <w:sz w:val="24"/>
                <w:highlight w:val="none"/>
              </w:rPr>
            </w:pPr>
          </w:p>
        </w:tc>
        <w:tc>
          <w:tcPr>
            <w:tcW w:w="1315" w:type="dxa"/>
            <w:noWrap w:val="0"/>
            <w:vAlign w:val="center"/>
          </w:tcPr>
          <w:p w14:paraId="4B68B03D">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7"/>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4AF7EB95">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119F491">
      <w:pPr>
        <w:rPr>
          <w:rFonts w:hint="default"/>
          <w:highlight w:val="none"/>
          <w:lang w:val="en-US" w:eastAsia="zh-CN"/>
        </w:rPr>
      </w:pP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w:t>
      </w: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lang w:val="en-US" w:eastAsia="zh-CN"/>
        </w:rPr>
        <w:t>：密封袋封面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环氧乙烷包内化学指示卡重新</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1F4C3DF">
      <w:pPr>
        <w:pStyle w:val="8"/>
        <w:ind w:firstLine="3975" w:firstLineChars="1100"/>
        <w:jc w:val="center"/>
        <w:rPr>
          <w:rFonts w:hint="eastAsia"/>
          <w:b/>
          <w:bCs/>
          <w:sz w:val="36"/>
          <w:szCs w:val="36"/>
          <w:highlight w:val="none"/>
          <w:lang w:val="en-US" w:eastAsia="zh-CN"/>
        </w:rPr>
      </w:pPr>
    </w:p>
    <w:p w14:paraId="7B3B9D9E">
      <w:pPr>
        <w:pStyle w:val="8"/>
        <w:rPr>
          <w:rFonts w:hint="default"/>
          <w:highlight w:val="none"/>
          <w:lang w:val="en-US" w:eastAsia="zh-CN"/>
        </w:rPr>
      </w:pPr>
    </w:p>
    <w:p w14:paraId="1BE202CC">
      <w:pPr>
        <w:rPr>
          <w:rFonts w:hint="default"/>
          <w:highlight w:val="none"/>
          <w:lang w:val="en-US" w:eastAsia="zh-CN"/>
        </w:rPr>
      </w:pPr>
    </w:p>
    <w:p w14:paraId="4A5ACEA5">
      <w:pPr>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5186BA87">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3E9AF0C8"/>
    <w:multiLevelType w:val="singleLevel"/>
    <w:tmpl w:val="3E9AF0C8"/>
    <w:lvl w:ilvl="0" w:tentative="0">
      <w:start w:val="1"/>
      <w:numFmt w:val="decimal"/>
      <w:lvlText w:val="%1."/>
      <w:lvlJc w:val="left"/>
      <w:pPr>
        <w:tabs>
          <w:tab w:val="left" w:pos="312"/>
        </w:tabs>
      </w:p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6557D6F"/>
    <w:rsid w:val="069E265D"/>
    <w:rsid w:val="0A426399"/>
    <w:rsid w:val="0A651DA7"/>
    <w:rsid w:val="0B0C4B48"/>
    <w:rsid w:val="0BD22A27"/>
    <w:rsid w:val="0BD44D81"/>
    <w:rsid w:val="0C0E4DB6"/>
    <w:rsid w:val="0D0578EB"/>
    <w:rsid w:val="0E5A6AF7"/>
    <w:rsid w:val="0E673A6D"/>
    <w:rsid w:val="0EBA7BC3"/>
    <w:rsid w:val="0F432164"/>
    <w:rsid w:val="0FC2660F"/>
    <w:rsid w:val="100D371A"/>
    <w:rsid w:val="139A6490"/>
    <w:rsid w:val="14041381"/>
    <w:rsid w:val="152F4481"/>
    <w:rsid w:val="15756138"/>
    <w:rsid w:val="16065A3D"/>
    <w:rsid w:val="16EB42BE"/>
    <w:rsid w:val="171929B6"/>
    <w:rsid w:val="191666DA"/>
    <w:rsid w:val="1B440A68"/>
    <w:rsid w:val="1BBB4BA7"/>
    <w:rsid w:val="1C436556"/>
    <w:rsid w:val="1C7C316C"/>
    <w:rsid w:val="1CD019C7"/>
    <w:rsid w:val="1F615A66"/>
    <w:rsid w:val="1FF80BEF"/>
    <w:rsid w:val="229D54E1"/>
    <w:rsid w:val="2314720F"/>
    <w:rsid w:val="238B5D7E"/>
    <w:rsid w:val="23C251FB"/>
    <w:rsid w:val="25F12CC1"/>
    <w:rsid w:val="288A0B19"/>
    <w:rsid w:val="28BA035D"/>
    <w:rsid w:val="2A677CA8"/>
    <w:rsid w:val="2A800285"/>
    <w:rsid w:val="2C7D1A05"/>
    <w:rsid w:val="2D5B3D20"/>
    <w:rsid w:val="2EDC4D1F"/>
    <w:rsid w:val="308F4F4A"/>
    <w:rsid w:val="334576A7"/>
    <w:rsid w:val="34F54AD0"/>
    <w:rsid w:val="35B72A71"/>
    <w:rsid w:val="387F2677"/>
    <w:rsid w:val="3A2A31CC"/>
    <w:rsid w:val="3CF77889"/>
    <w:rsid w:val="3D512EB6"/>
    <w:rsid w:val="3DB22B39"/>
    <w:rsid w:val="3DE73182"/>
    <w:rsid w:val="40934E09"/>
    <w:rsid w:val="41227EAC"/>
    <w:rsid w:val="41807897"/>
    <w:rsid w:val="4271398D"/>
    <w:rsid w:val="42DA0355"/>
    <w:rsid w:val="43026E75"/>
    <w:rsid w:val="434545DC"/>
    <w:rsid w:val="43D35ED6"/>
    <w:rsid w:val="44AE0D88"/>
    <w:rsid w:val="4625196C"/>
    <w:rsid w:val="496F0BFB"/>
    <w:rsid w:val="49DE4271"/>
    <w:rsid w:val="4CEB2D8A"/>
    <w:rsid w:val="4E4D4129"/>
    <w:rsid w:val="4E7C3EB0"/>
    <w:rsid w:val="502045C6"/>
    <w:rsid w:val="514366CA"/>
    <w:rsid w:val="521712F5"/>
    <w:rsid w:val="532209BB"/>
    <w:rsid w:val="53C0404C"/>
    <w:rsid w:val="54215166"/>
    <w:rsid w:val="54786EE6"/>
    <w:rsid w:val="566C06B8"/>
    <w:rsid w:val="570C5CDB"/>
    <w:rsid w:val="58483B22"/>
    <w:rsid w:val="584F2744"/>
    <w:rsid w:val="58663D22"/>
    <w:rsid w:val="588A37EC"/>
    <w:rsid w:val="58E41C60"/>
    <w:rsid w:val="591E4639"/>
    <w:rsid w:val="5A271DD8"/>
    <w:rsid w:val="5AD54AB9"/>
    <w:rsid w:val="5BB01A7D"/>
    <w:rsid w:val="5BE36AC3"/>
    <w:rsid w:val="5C9E0B3D"/>
    <w:rsid w:val="5DDB5C61"/>
    <w:rsid w:val="5F476B09"/>
    <w:rsid w:val="5FDE21DF"/>
    <w:rsid w:val="610955D5"/>
    <w:rsid w:val="61E759F9"/>
    <w:rsid w:val="622B3155"/>
    <w:rsid w:val="65686562"/>
    <w:rsid w:val="657F58CB"/>
    <w:rsid w:val="66AC5BB9"/>
    <w:rsid w:val="68BE495C"/>
    <w:rsid w:val="69CB4A51"/>
    <w:rsid w:val="6BC53D4C"/>
    <w:rsid w:val="6BD1524C"/>
    <w:rsid w:val="6E997C25"/>
    <w:rsid w:val="6EA15F1D"/>
    <w:rsid w:val="6EF8049C"/>
    <w:rsid w:val="736C5159"/>
    <w:rsid w:val="74116696"/>
    <w:rsid w:val="74DA48CB"/>
    <w:rsid w:val="79AD2DE0"/>
    <w:rsid w:val="7A952605"/>
    <w:rsid w:val="7B123E95"/>
    <w:rsid w:val="7C351802"/>
    <w:rsid w:val="7D1F5968"/>
    <w:rsid w:val="7DEC07EA"/>
    <w:rsid w:val="7FBF7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character" w:customStyle="1" w:styleId="20">
    <w:name w:val="font21"/>
    <w:basedOn w:val="12"/>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1252</Words>
  <Characters>1290</Characters>
  <Lines>0</Lines>
  <Paragraphs>0</Paragraphs>
  <TotalTime>7</TotalTime>
  <ScaleCrop>false</ScaleCrop>
  <LinksUpToDate>false</LinksUpToDate>
  <CharactersWithSpaces>1449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2024-12-23T07:14:00Z</cp:lastPrinted>
  <dcterms:modified xsi:type="dcterms:W3CDTF">2025-08-29T07:30:26Z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