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E33BD59">
      <w:pPr>
        <w:pStyle w:val="3"/>
        <w:widowControl/>
        <w:spacing w:beforeAutospacing="0" w:afterAutospacing="0" w:line="378" w:lineRule="atLeast"/>
        <w:jc w:val="both"/>
        <w:rPr>
          <w:rFonts w:hint="eastAsia" w:ascii="黑体" w:hAnsi="黑体" w:eastAsia="黑体" w:cs="黑体"/>
          <w:b w:val="0"/>
          <w:bCs w:val="0"/>
          <w:color w:val="3E3E3E"/>
          <w:spacing w:val="9"/>
          <w:sz w:val="32"/>
          <w:szCs w:val="32"/>
          <w:lang w:val="en-US" w:eastAsia="zh-CN"/>
        </w:rPr>
      </w:pPr>
      <w:bookmarkStart w:id="0" w:name="OLE_LINK1"/>
      <w:r>
        <w:rPr>
          <w:rFonts w:hint="eastAsia" w:ascii="黑体" w:hAnsi="黑体" w:eastAsia="黑体" w:cs="黑体"/>
          <w:b w:val="0"/>
          <w:bCs w:val="0"/>
          <w:color w:val="3E3E3E"/>
          <w:spacing w:val="9"/>
          <w:sz w:val="32"/>
          <w:szCs w:val="32"/>
          <w:lang w:val="en-US" w:eastAsia="zh-CN"/>
        </w:rPr>
        <w:t>附件1：</w:t>
      </w:r>
    </w:p>
    <w:p w14:paraId="463A5242">
      <w:pPr>
        <w:keepNext w:val="0"/>
        <w:keepLines w:val="0"/>
        <w:pageBreakBefore w:val="0"/>
        <w:kinsoku/>
        <w:wordWrap/>
        <w:overflowPunct/>
        <w:topLinePunct w:val="0"/>
        <w:autoSpaceDE/>
        <w:autoSpaceDN/>
        <w:bidi w:val="0"/>
        <w:adjustRightInd/>
        <w:snapToGrid/>
        <w:spacing w:line="560" w:lineRule="exact"/>
        <w:ind w:left="0" w:leftChars="0"/>
        <w:jc w:val="both"/>
        <w:textAlignment w:val="auto"/>
        <w:rPr>
          <w:rFonts w:hint="eastAsia" w:ascii="仿宋_GB2312" w:hAnsi="仿宋_GB2312" w:eastAsia="仿宋_GB2312" w:cs="仿宋_GB2312"/>
          <w:b w:val="0"/>
          <w:bCs w:val="0"/>
          <w:sz w:val="32"/>
          <w:szCs w:val="32"/>
          <w:lang w:val="en-US" w:eastAsia="zh-CN"/>
        </w:rPr>
      </w:pPr>
    </w:p>
    <w:p w14:paraId="38C0AE04">
      <w:pPr>
        <w:pStyle w:val="3"/>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jc w:val="center"/>
        <w:textAlignment w:val="auto"/>
        <w:rPr>
          <w:rFonts w:hint="eastAsia" w:ascii="方正小标宋简体" w:hAnsi="方正小标宋简体" w:eastAsia="方正小标宋简体" w:cs="方正小标宋简体"/>
          <w:b w:val="0"/>
          <w:bCs w:val="0"/>
          <w:color w:val="3E3E3E"/>
          <w:spacing w:val="9"/>
          <w:sz w:val="44"/>
          <w:szCs w:val="44"/>
        </w:rPr>
      </w:pPr>
      <w:r>
        <w:rPr>
          <w:rFonts w:hint="eastAsia" w:ascii="方正小标宋简体" w:hAnsi="方正小标宋简体" w:eastAsia="方正小标宋简体" w:cs="方正小标宋简体"/>
          <w:b w:val="0"/>
          <w:bCs w:val="0"/>
          <w:color w:val="3E3E3E"/>
          <w:spacing w:val="9"/>
          <w:sz w:val="44"/>
          <w:szCs w:val="44"/>
        </w:rPr>
        <w:t>采购需求</w:t>
      </w:r>
      <w:bookmarkEnd w:id="0"/>
    </w:p>
    <w:p w14:paraId="304E9008">
      <w:pPr>
        <w:rPr>
          <w:rFonts w:hint="eastAsia"/>
        </w:rPr>
      </w:pPr>
    </w:p>
    <w:p w14:paraId="20CDCDD5">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黑体" w:hAnsi="黑体" w:eastAsia="黑体" w:cs="黑体"/>
          <w:sz w:val="32"/>
          <w:szCs w:val="32"/>
        </w:rPr>
      </w:pPr>
      <w:r>
        <w:rPr>
          <w:rFonts w:hint="eastAsia" w:ascii="黑体" w:hAnsi="黑体" w:eastAsia="黑体" w:cs="黑体"/>
          <w:color w:val="3E3E3E"/>
          <w:spacing w:val="9"/>
          <w:sz w:val="32"/>
          <w:szCs w:val="32"/>
        </w:rPr>
        <w:t>一、产品要求</w:t>
      </w:r>
    </w:p>
    <w:p w14:paraId="6054F23C">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质量符合《中华人民共和国药典（2010年版）三部》的标准，并提供国家批准生产文号、质检报告及样品等质量保证相关资料复印件。</w:t>
      </w:r>
    </w:p>
    <w:p w14:paraId="32BAA663">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黑体" w:hAnsi="黑体" w:eastAsia="黑体" w:cs="黑体"/>
          <w:color w:val="3E3E3E"/>
          <w:spacing w:val="9"/>
          <w:sz w:val="32"/>
          <w:szCs w:val="32"/>
        </w:rPr>
      </w:pPr>
      <w:r>
        <w:rPr>
          <w:rFonts w:hint="eastAsia" w:ascii="黑体" w:hAnsi="黑体" w:eastAsia="黑体" w:cs="黑体"/>
          <w:color w:val="3E3E3E"/>
          <w:spacing w:val="9"/>
          <w:sz w:val="32"/>
          <w:szCs w:val="32"/>
        </w:rPr>
        <w:t>二、技术参数</w:t>
      </w:r>
    </w:p>
    <w:p w14:paraId="1E09D1CF">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1</w:t>
      </w:r>
      <w:r>
        <w:rPr>
          <w:rFonts w:hint="eastAsia" w:ascii="仿宋_GB2312" w:hAnsi="仿宋_GB2312" w:eastAsia="仿宋_GB2312" w:cs="仿宋_GB2312"/>
          <w:color w:val="3E3E3E"/>
          <w:spacing w:val="9"/>
          <w:sz w:val="32"/>
          <w:szCs w:val="32"/>
          <w:lang w:val="en-US" w:eastAsia="zh-CN"/>
        </w:rPr>
        <w:t>.</w:t>
      </w:r>
      <w:r>
        <w:rPr>
          <w:rFonts w:hint="eastAsia" w:ascii="仿宋_GB2312" w:hAnsi="仿宋_GB2312" w:eastAsia="仿宋_GB2312" w:cs="仿宋_GB2312"/>
          <w:color w:val="3E3E3E"/>
          <w:spacing w:val="9"/>
          <w:sz w:val="32"/>
          <w:szCs w:val="32"/>
        </w:rPr>
        <w:t>规格：每瓶1ml。每1 次人用剂量为0.1ml，含1μg结核菌素纯蛋白衍生物的稀释制剂(即每1ml含50IU)。</w:t>
      </w:r>
    </w:p>
    <w:p w14:paraId="4ABD737A">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2</w:t>
      </w:r>
      <w:r>
        <w:rPr>
          <w:rFonts w:hint="eastAsia" w:ascii="仿宋_GB2312" w:hAnsi="仿宋_GB2312" w:eastAsia="仿宋_GB2312" w:cs="仿宋_GB2312"/>
          <w:color w:val="3E3E3E"/>
          <w:spacing w:val="9"/>
          <w:sz w:val="32"/>
          <w:szCs w:val="32"/>
          <w:lang w:val="en-US" w:eastAsia="zh-CN"/>
        </w:rPr>
        <w:t>.</w:t>
      </w:r>
      <w:r>
        <w:rPr>
          <w:rFonts w:hint="eastAsia" w:ascii="仿宋_GB2312" w:hAnsi="仿宋_GB2312" w:eastAsia="仿宋_GB2312" w:cs="仿宋_GB2312"/>
          <w:color w:val="3E3E3E"/>
          <w:spacing w:val="9"/>
          <w:sz w:val="32"/>
          <w:szCs w:val="32"/>
        </w:rPr>
        <w:t>外观：应为无色澄明液体，无不溶物或异物。</w:t>
      </w:r>
    </w:p>
    <w:p w14:paraId="0939DAB7">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3</w:t>
      </w:r>
      <w:r>
        <w:rPr>
          <w:rFonts w:hint="eastAsia" w:ascii="仿宋_GB2312" w:hAnsi="仿宋_GB2312" w:eastAsia="仿宋_GB2312" w:cs="仿宋_GB2312"/>
          <w:color w:val="3E3E3E"/>
          <w:spacing w:val="9"/>
          <w:sz w:val="32"/>
          <w:szCs w:val="32"/>
          <w:lang w:val="en-US" w:eastAsia="zh-CN"/>
        </w:rPr>
        <w:t>.</w:t>
      </w:r>
      <w:bookmarkStart w:id="1" w:name="_GoBack"/>
      <w:bookmarkEnd w:id="1"/>
      <w:r>
        <w:rPr>
          <w:rFonts w:hint="eastAsia" w:ascii="仿宋_GB2312" w:hAnsi="仿宋_GB2312" w:eastAsia="仿宋_GB2312" w:cs="仿宋_GB2312"/>
          <w:color w:val="3E3E3E"/>
          <w:spacing w:val="9"/>
          <w:sz w:val="32"/>
          <w:szCs w:val="32"/>
        </w:rPr>
        <w:t>保存、运输及有效期：于2〜8°C避光保存和运输。自生产之日起，有效期为24个月。</w:t>
      </w:r>
    </w:p>
    <w:p w14:paraId="4ABE1C21">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黑体" w:hAnsi="黑体" w:eastAsia="黑体" w:cs="黑体"/>
          <w:color w:val="3E3E3E"/>
          <w:spacing w:val="9"/>
          <w:sz w:val="32"/>
          <w:szCs w:val="32"/>
        </w:rPr>
      </w:pPr>
      <w:r>
        <w:rPr>
          <w:rFonts w:hint="eastAsia" w:ascii="黑体" w:hAnsi="黑体" w:eastAsia="黑体" w:cs="黑体"/>
          <w:color w:val="3E3E3E"/>
          <w:spacing w:val="9"/>
          <w:sz w:val="32"/>
          <w:szCs w:val="32"/>
        </w:rPr>
        <w:t>三、其他要求</w:t>
      </w:r>
    </w:p>
    <w:p w14:paraId="2C8D8D7D">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1.包装要求：</w:t>
      </w:r>
      <w:r>
        <w:rPr>
          <w:rFonts w:hint="eastAsia" w:ascii="仿宋_GB2312" w:hAnsi="仿宋_GB2312" w:eastAsia="仿宋_GB2312" w:cs="仿宋_GB2312"/>
          <w:color w:val="3E3E3E"/>
          <w:spacing w:val="9"/>
          <w:sz w:val="32"/>
          <w:szCs w:val="32"/>
        </w:rPr>
        <w:t>符合《生物制品包装规程》的标准，具有良好的密封性和防潮性，破损率低于国家规定标准。大、中、小包装均应印有批号（生产日期）、失效期等包装标识，小包装应附中文使用说明书一份。</w:t>
      </w:r>
    </w:p>
    <w:p w14:paraId="5A1BA34F">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2.供货及运输要求</w:t>
      </w:r>
    </w:p>
    <w:p w14:paraId="2D51F18D">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1）产品效期：自产品供货之日起，有效期为6个月以上。否则采购人有权拒收。对近效期产品，中标企业应提前沟通，取得采购人同意后发货，采购人可根据情况免费调换，为便于管理，中标企业每次发货应尽可能为一个批次产品。</w:t>
      </w:r>
    </w:p>
    <w:p w14:paraId="3A0DFB74">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（2）储存和运输要求：产品储存和运输要符合产品说明书的规定，并提供产品运输过程中的冷链监测数据。</w:t>
      </w:r>
    </w:p>
    <w:p w14:paraId="0A242899">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3.交货与验收</w:t>
      </w:r>
    </w:p>
    <w:p w14:paraId="0FA6980D">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（1）投标人应提供技术成熟的符合用户需求的产品，并确保其完整性和可靠性。</w:t>
      </w:r>
    </w:p>
    <w:p w14:paraId="62AAFF5C">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（2）成交人应按有关标准提供可靠的外包装，按采购人的订购计划并采用冷链要求将其运抵交货地点。</w:t>
      </w:r>
    </w:p>
    <w:p w14:paraId="4D362059">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（3）交货时需提供发货清单和每个供货批次批签发报告和合格的检验报告，并加盖企业公章。</w:t>
      </w:r>
    </w:p>
    <w:p w14:paraId="4D960CDA">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4）货物运送至交货地点后，由成交人和采购人进行联合验收。货物的外包装应牢固、完好，符合储存运输要求，相关资料齐全，效期满足约定要求。在验收期间如发现货物有破损，成交人应立即予以更换（费用由成交人承担）。如不符合上述要求的，采购人可拒绝接收，并追究责任。</w:t>
      </w:r>
    </w:p>
    <w:p w14:paraId="57D922D7">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4.支付方式</w:t>
      </w:r>
    </w:p>
    <w:p w14:paraId="73D32E38">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（1）需求一览表中“采购数量”供投标人报价决策时参考，并以此计算“投标总报价”，“投标总报价”仅用于评标时对比评审，中标后，按需分批次供货，以实际供货数量结算。</w:t>
      </w:r>
    </w:p>
    <w:p w14:paraId="25008CF4">
      <w:pPr>
        <w:pStyle w:val="5"/>
        <w:keepNext w:val="0"/>
        <w:keepLines w:val="0"/>
        <w:pageBreakBefore w:val="0"/>
        <w:widowControl/>
        <w:kinsoku/>
        <w:wordWrap/>
        <w:overflowPunct/>
        <w:topLinePunct w:val="0"/>
        <w:autoSpaceDE/>
        <w:autoSpaceDN/>
        <w:bidi w:val="0"/>
        <w:adjustRightInd/>
        <w:snapToGrid/>
        <w:spacing w:beforeAutospacing="0" w:afterAutospacing="0" w:line="560" w:lineRule="exact"/>
        <w:ind w:left="0" w:leftChars="0" w:firstLine="676"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color w:val="3E3E3E"/>
          <w:spacing w:val="9"/>
          <w:sz w:val="32"/>
          <w:szCs w:val="32"/>
        </w:rPr>
        <w:t>（2）当次货物供货完毕并验收合格后3个月内凭合同、发票、入库验收单支付当次货款。</w:t>
      </w:r>
    </w:p>
    <w:p w14:paraId="3E031F68">
      <w:pPr>
        <w:pStyle w:val="6"/>
        <w:keepNext w:val="0"/>
        <w:keepLines w:val="0"/>
        <w:pageBreakBefore w:val="0"/>
        <w:kinsoku/>
        <w:wordWrap/>
        <w:overflowPunct/>
        <w:topLinePunct w:val="0"/>
        <w:autoSpaceDE/>
        <w:autoSpaceDN/>
        <w:bidi w:val="0"/>
        <w:adjustRightInd/>
        <w:snapToGrid/>
        <w:spacing w:after="0" w:line="560" w:lineRule="exact"/>
        <w:ind w:left="0" w:leftChars="0"/>
        <w:jc w:val="both"/>
        <w:textAlignment w:val="auto"/>
        <w:rPr>
          <w:rFonts w:hint="eastAsia" w:ascii="仿宋_GB2312" w:hAnsi="仿宋_GB2312" w:eastAsia="仿宋_GB2312" w:cs="仿宋_GB2312"/>
          <w:sz w:val="32"/>
          <w:szCs w:val="32"/>
        </w:rPr>
      </w:pPr>
    </w:p>
    <w:p w14:paraId="579DC5C4">
      <w:pPr>
        <w:keepNext w:val="0"/>
        <w:keepLines w:val="0"/>
        <w:pageBreakBefore w:val="0"/>
        <w:kinsoku/>
        <w:wordWrap/>
        <w:overflowPunct/>
        <w:topLinePunct w:val="0"/>
        <w:autoSpaceDE/>
        <w:autoSpaceDN/>
        <w:bidi w:val="0"/>
        <w:adjustRightInd/>
        <w:snapToGrid/>
        <w:spacing w:line="560" w:lineRule="exact"/>
        <w:ind w:left="0" w:leftChars="0"/>
        <w:jc w:val="both"/>
        <w:textAlignment w:val="auto"/>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swiss"/>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hiNDJkN2NmOTQwODM3ZmZmMWEzNmVmOTJmMmVhNDQifQ=="/>
  </w:docVars>
  <w:rsids>
    <w:rsidRoot w:val="1C6B58B2"/>
    <w:rsid w:val="1C6B58B2"/>
    <w:rsid w:val="51592E70"/>
    <w:rsid w:val="6F9B38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paragraph" w:styleId="3">
    <w:name w:val="heading 1"/>
    <w:basedOn w:val="1"/>
    <w:next w:val="1"/>
    <w:qFormat/>
    <w:uiPriority w:val="0"/>
    <w:pPr>
      <w:spacing w:beforeAutospacing="1" w:afterAutospacing="1"/>
      <w:jc w:val="left"/>
      <w:outlineLvl w:val="0"/>
    </w:pPr>
    <w:rPr>
      <w:rFonts w:hint="eastAsia" w:ascii="宋体" w:hAnsi="宋体"/>
      <w:b/>
      <w:bCs/>
      <w:kern w:val="44"/>
      <w:sz w:val="48"/>
      <w:szCs w:val="48"/>
    </w:rPr>
  </w:style>
  <w:style w:type="character" w:default="1" w:styleId="8">
    <w:name w:val="Default Paragraph Font"/>
    <w:semiHidden/>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sz w:val="28"/>
      <w:szCs w:val="20"/>
    </w:rPr>
  </w:style>
  <w:style w:type="paragraph" w:styleId="4">
    <w:name w:val="Body Text Indent"/>
    <w:basedOn w:val="1"/>
    <w:qFormat/>
    <w:uiPriority w:val="0"/>
    <w:pPr>
      <w:spacing w:line="200" w:lineRule="exact"/>
      <w:ind w:firstLine="301"/>
    </w:pPr>
    <w:rPr>
      <w:rFonts w:ascii="宋体" w:hAnsi="Courier New"/>
      <w:spacing w:val="-4"/>
      <w:sz w:val="18"/>
      <w:szCs w:val="20"/>
    </w:rPr>
  </w:style>
  <w:style w:type="paragraph" w:styleId="5">
    <w:name w:val="Normal (Web)"/>
    <w:basedOn w:val="1"/>
    <w:qFormat/>
    <w:uiPriority w:val="0"/>
    <w:pPr>
      <w:spacing w:beforeAutospacing="1" w:afterAutospacing="1"/>
      <w:jc w:val="left"/>
    </w:pPr>
    <w:rPr>
      <w:kern w:val="0"/>
      <w:sz w:val="24"/>
    </w:rPr>
  </w:style>
  <w:style w:type="paragraph" w:styleId="6">
    <w:name w:val="Body Text First Indent 2"/>
    <w:basedOn w:val="4"/>
    <w:qFormat/>
    <w:uiPriority w:val="0"/>
    <w:pPr>
      <w:spacing w:after="120" w:line="240" w:lineRule="auto"/>
      <w:ind w:left="420" w:leftChars="200" w:firstLine="420" w:firstLineChars="200"/>
    </w:pPr>
    <w:rPr>
      <w:rFonts w:ascii="Times New Roman" w:hAnsi="Times New Roman"/>
      <w:spacing w:val="0"/>
      <w:sz w:val="21"/>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819</Words>
  <Characters>841</Characters>
  <Lines>0</Lines>
  <Paragraphs>0</Paragraphs>
  <TotalTime>1</TotalTime>
  <ScaleCrop>false</ScaleCrop>
  <LinksUpToDate>false</LinksUpToDate>
  <CharactersWithSpaces>842</CharactersWithSpaces>
  <Application>WPS Office_12.1.0.17857_F1E327BC-269C-435d-A152-05C5408002CA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2024-08-28T07:54:00Z</dcterms:created>
  <dc:creator>lenovo</dc:creator>
  <cp:lastModifiedBy>瑛</cp:lastModifiedBy>
  <dcterms:modified xsi:type="dcterms:W3CDTF">2024-08-28T08:13:07Z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2052-12.1.0.17857</vt:lpwstr>
  </property>
  <property fmtid="{D5CDD505-2E9C-101B-9397-08002B2CF9AE}" pid="3" name="ICV">
    <vt:lpwstr>9921540E523945C7BDAE2B2781ED9AB7_13</vt:lpwstr>
  </property>
</Properties>
</file>