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32"/>
          <w:szCs w:val="40"/>
          <w:lang w:val="en-US" w:eastAsia="zh-CN"/>
        </w:rPr>
      </w:pPr>
      <w:r>
        <w:rPr>
          <w:rFonts w:hint="eastAsia"/>
          <w:sz w:val="32"/>
          <w:szCs w:val="40"/>
          <w:lang w:val="en-US" w:eastAsia="zh-CN"/>
        </w:rPr>
        <w:t>关于心脏介入&amp;心胸外科类高值耗材遴选更正公告</w:t>
      </w:r>
    </w:p>
    <w:p>
      <w:pPr>
        <w:jc w:val="left"/>
        <w:rPr>
          <w:rFonts w:hint="default"/>
          <w:lang w:val="en-US" w:eastAsia="zh-CN"/>
        </w:rPr>
      </w:pP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lang w:val="en-US" w:eastAsia="zh-CN"/>
        </w:rPr>
      </w:pPr>
      <w:r>
        <w:rPr>
          <w:rFonts w:hint="eastAsia"/>
          <w:lang w:val="en-US" w:eastAsia="zh-CN"/>
        </w:rPr>
        <w:t>根据临床需求，现对义乌市中心医院心脏介入&amp;心胸外科类高值耗材遴选项目的招标公告部分内容进行更正，内容如下。</w:t>
      </w:r>
    </w:p>
    <w:p>
      <w:pPr>
        <w:bidi w:val="0"/>
        <w:rPr>
          <w:rFonts w:hint="default"/>
          <w:lang w:val="en-US" w:eastAsia="zh-CN"/>
        </w:rPr>
      </w:pPr>
    </w:p>
    <w:tbl>
      <w:tblPr>
        <w:tblStyle w:val="6"/>
        <w:tblpPr w:leftFromText="180" w:rightFromText="180" w:vertAnchor="text" w:horzAnchor="page" w:tblpX="463" w:tblpY="504"/>
        <w:tblOverlap w:val="never"/>
        <w:tblW w:w="109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6"/>
        <w:gridCol w:w="1362"/>
        <w:gridCol w:w="1362"/>
        <w:gridCol w:w="1893"/>
        <w:gridCol w:w="1224"/>
        <w:gridCol w:w="2852"/>
        <w:gridCol w:w="13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vAlign w:val="center"/>
          </w:tcPr>
          <w:p>
            <w:pPr>
              <w:jc w:val="center"/>
              <w:rPr>
                <w:rFonts w:hint="default"/>
                <w:lang w:val="en-US" w:eastAsia="zh-CN"/>
              </w:rPr>
            </w:pPr>
          </w:p>
        </w:tc>
        <w:tc>
          <w:tcPr>
            <w:tcW w:w="1362" w:type="dxa"/>
            <w:vAlign w:val="center"/>
          </w:tcPr>
          <w:p>
            <w:pPr>
              <w:jc w:val="center"/>
              <w:rPr>
                <w:rFonts w:hint="eastAsia"/>
                <w:lang w:val="en-US" w:eastAsia="zh-CN"/>
              </w:rPr>
            </w:pPr>
            <w:r>
              <w:rPr>
                <w:rFonts w:hint="eastAsia"/>
                <w:lang w:val="en-US" w:eastAsia="zh-CN"/>
              </w:rPr>
              <w:t>标段</w:t>
            </w:r>
          </w:p>
        </w:tc>
        <w:tc>
          <w:tcPr>
            <w:tcW w:w="1362" w:type="dxa"/>
            <w:vAlign w:val="center"/>
          </w:tcPr>
          <w:p>
            <w:pPr>
              <w:jc w:val="center"/>
              <w:rPr>
                <w:rFonts w:hint="default"/>
                <w:lang w:val="en-US" w:eastAsia="zh-CN"/>
              </w:rPr>
            </w:pPr>
            <w:r>
              <w:rPr>
                <w:rFonts w:hint="eastAsia"/>
                <w:lang w:val="en-US" w:eastAsia="zh-CN"/>
              </w:rPr>
              <w:t>遴选目录</w:t>
            </w:r>
          </w:p>
        </w:tc>
        <w:tc>
          <w:tcPr>
            <w:tcW w:w="1893" w:type="dxa"/>
            <w:vAlign w:val="center"/>
          </w:tcPr>
          <w:p>
            <w:pPr>
              <w:jc w:val="center"/>
              <w:rPr>
                <w:rFonts w:hint="default"/>
                <w:lang w:val="en-US" w:eastAsia="zh-CN"/>
              </w:rPr>
            </w:pPr>
            <w:r>
              <w:rPr>
                <w:rFonts w:hint="eastAsia"/>
                <w:lang w:val="en-US" w:eastAsia="zh-CN"/>
              </w:rPr>
              <w:t>耗材名称</w:t>
            </w:r>
          </w:p>
        </w:tc>
        <w:tc>
          <w:tcPr>
            <w:tcW w:w="1224" w:type="dxa"/>
            <w:vAlign w:val="center"/>
          </w:tcPr>
          <w:p>
            <w:pPr>
              <w:jc w:val="center"/>
              <w:rPr>
                <w:rFonts w:hint="default"/>
                <w:lang w:val="en-US" w:eastAsia="zh-CN"/>
              </w:rPr>
            </w:pPr>
            <w:r>
              <w:rPr>
                <w:rFonts w:hint="eastAsia"/>
                <w:lang w:val="en-US" w:eastAsia="zh-CN"/>
              </w:rPr>
              <w:t>规格型号</w:t>
            </w:r>
          </w:p>
        </w:tc>
        <w:tc>
          <w:tcPr>
            <w:tcW w:w="2852" w:type="dxa"/>
            <w:vAlign w:val="center"/>
          </w:tcPr>
          <w:p>
            <w:pPr>
              <w:jc w:val="center"/>
              <w:rPr>
                <w:rFonts w:hint="default"/>
                <w:lang w:val="en-US" w:eastAsia="zh-CN"/>
              </w:rPr>
            </w:pPr>
            <w:r>
              <w:rPr>
                <w:rFonts w:hint="eastAsia"/>
                <w:lang w:val="en-US" w:eastAsia="zh-CN"/>
              </w:rPr>
              <w:t>预期用途</w:t>
            </w:r>
          </w:p>
        </w:tc>
        <w:tc>
          <w:tcPr>
            <w:tcW w:w="1393" w:type="dxa"/>
            <w:vAlign w:val="center"/>
          </w:tcPr>
          <w:p>
            <w:pPr>
              <w:jc w:val="center"/>
              <w:rPr>
                <w:rFonts w:hint="default"/>
                <w:lang w:val="en-US" w:eastAsia="zh-CN"/>
              </w:rPr>
            </w:pPr>
            <w:r>
              <w:rPr>
                <w:rFonts w:hint="eastAsia"/>
                <w:lang w:val="en-US" w:eastAsia="zh-CN"/>
              </w:rPr>
              <w:t>使用科室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vAlign w:val="center"/>
          </w:tcPr>
          <w:p>
            <w:pPr>
              <w:jc w:val="center"/>
              <w:rPr>
                <w:rFonts w:hint="default"/>
                <w:lang w:val="en-US" w:eastAsia="zh-CN"/>
              </w:rPr>
            </w:pPr>
            <w:r>
              <w:rPr>
                <w:rFonts w:hint="eastAsia"/>
                <w:lang w:val="en-US" w:eastAsia="zh-CN"/>
              </w:rPr>
              <w:t>更正前</w:t>
            </w:r>
          </w:p>
        </w:tc>
        <w:tc>
          <w:tcPr>
            <w:tcW w:w="1362" w:type="dxa"/>
            <w:vAlign w:val="center"/>
          </w:tcPr>
          <w:p>
            <w:pPr>
              <w:jc w:val="center"/>
              <w:rPr>
                <w:rFonts w:hint="default" w:ascii="宋体" w:hAnsi="宋体" w:eastAsia="宋体" w:cs="宋体"/>
                <w:i w:val="0"/>
                <w:iCs w:val="0"/>
                <w:color w:val="000000"/>
                <w:kern w:val="0"/>
                <w:sz w:val="22"/>
                <w:szCs w:val="22"/>
                <w:u w:val="none"/>
                <w:lang w:val="en-US" w:eastAsia="zh-CN" w:bidi="ar"/>
              </w:rPr>
            </w:pPr>
            <w:r>
              <w:rPr>
                <w:rFonts w:hint="eastAsia"/>
                <w:lang w:val="en-US" w:eastAsia="zh-CN"/>
              </w:rPr>
              <w:t>标段7</w:t>
            </w:r>
          </w:p>
        </w:tc>
        <w:tc>
          <w:tcPr>
            <w:tcW w:w="1362" w:type="dxa"/>
            <w:vAlign w:val="center"/>
          </w:tcPr>
          <w:p>
            <w:pPr>
              <w:keepNext w:val="0"/>
              <w:keepLines w:val="0"/>
              <w:widowControl/>
              <w:suppressLineNumbers w:val="0"/>
              <w:jc w:val="left"/>
              <w:textAlignment w:val="center"/>
              <w:rPr>
                <w:rFonts w:hint="default"/>
                <w:lang w:val="en-US" w:eastAsia="zh-CN"/>
              </w:rPr>
            </w:pPr>
            <w:r>
              <w:rPr>
                <w:rFonts w:hint="eastAsia" w:ascii="宋体" w:hAnsi="宋体" w:eastAsia="宋体" w:cs="宋体"/>
                <w:i w:val="0"/>
                <w:iCs w:val="0"/>
                <w:color w:val="000000"/>
                <w:kern w:val="0"/>
                <w:sz w:val="22"/>
                <w:szCs w:val="22"/>
                <w:u w:val="none"/>
                <w:lang w:val="en-US" w:eastAsia="zh-CN" w:bidi="ar"/>
              </w:rPr>
              <w:t>心脏起搏器类/三腔起搏器（CRT）/CRT－D改进型</w:t>
            </w:r>
          </w:p>
        </w:tc>
        <w:tc>
          <w:tcPr>
            <w:tcW w:w="1893" w:type="dxa"/>
            <w:vAlign w:val="center"/>
          </w:tcPr>
          <w:p>
            <w:pPr>
              <w:keepNext w:val="0"/>
              <w:keepLines w:val="0"/>
              <w:widowControl/>
              <w:suppressLineNumbers w:val="0"/>
              <w:jc w:val="left"/>
              <w:textAlignment w:val="center"/>
              <w:rPr>
                <w:rFonts w:hint="default"/>
                <w:lang w:val="en-US" w:eastAsia="zh-CN"/>
              </w:rPr>
            </w:pPr>
            <w:r>
              <w:rPr>
                <w:rFonts w:hint="eastAsia" w:ascii="宋体" w:hAnsi="宋体" w:eastAsia="宋体" w:cs="宋体"/>
                <w:i w:val="0"/>
                <w:iCs w:val="0"/>
                <w:color w:val="000000"/>
                <w:kern w:val="0"/>
                <w:sz w:val="22"/>
                <w:szCs w:val="22"/>
                <w:u w:val="none"/>
                <w:lang w:val="en-US" w:eastAsia="zh-CN" w:bidi="ar"/>
              </w:rPr>
              <w:t>植入式再同步治疗心律转复除颤器</w:t>
            </w:r>
            <w:bookmarkStart w:id="0" w:name="_GoBack"/>
            <w:bookmarkEnd w:id="0"/>
          </w:p>
        </w:tc>
        <w:tc>
          <w:tcPr>
            <w:tcW w:w="1224" w:type="dxa"/>
            <w:vAlign w:val="center"/>
          </w:tcPr>
          <w:p>
            <w:pPr>
              <w:jc w:val="center"/>
              <w:rPr>
                <w:rFonts w:hint="default"/>
                <w:lang w:val="en-US" w:eastAsia="zh-CN"/>
              </w:rPr>
            </w:pPr>
            <w:r>
              <w:rPr>
                <w:rFonts w:hint="eastAsia"/>
                <w:lang w:val="en-US" w:eastAsia="zh-CN"/>
              </w:rPr>
              <w:t>要求型号齐全</w:t>
            </w:r>
          </w:p>
        </w:tc>
        <w:tc>
          <w:tcPr>
            <w:tcW w:w="2852" w:type="dxa"/>
            <w:vAlign w:val="center"/>
          </w:tcPr>
          <w:p>
            <w:pPr>
              <w:keepNext w:val="0"/>
              <w:keepLines w:val="0"/>
              <w:widowControl/>
              <w:suppressLineNumbers w:val="0"/>
              <w:jc w:val="left"/>
              <w:textAlignment w:val="center"/>
              <w:rPr>
                <w:rFonts w:hint="default"/>
                <w:lang w:val="en-US" w:eastAsia="zh-CN"/>
              </w:rPr>
            </w:pPr>
            <w:r>
              <w:rPr>
                <w:rFonts w:hint="eastAsia" w:ascii="宋体" w:hAnsi="宋体" w:eastAsia="宋体" w:cs="宋体"/>
                <w:i w:val="0"/>
                <w:iCs w:val="0"/>
                <w:color w:val="000000"/>
                <w:kern w:val="0"/>
                <w:sz w:val="22"/>
                <w:szCs w:val="22"/>
                <w:u w:val="none"/>
                <w:lang w:val="en-US" w:eastAsia="zh-CN" w:bidi="ar"/>
              </w:rPr>
              <w:t>植入式再同步治疗心律转复除颤器用于容易因室速突然死亡的患者和心室不同步心力衰竭的患者。用于心室抗心动过速起搏，复律和除颤，以便自动治疗危及生命的室性心动过速。</w:t>
            </w:r>
          </w:p>
        </w:tc>
        <w:tc>
          <w:tcPr>
            <w:tcW w:w="1393" w:type="dxa"/>
            <w:vAlign w:val="center"/>
          </w:tcPr>
          <w:p>
            <w:pPr>
              <w:keepNext w:val="0"/>
              <w:keepLines w:val="0"/>
              <w:widowControl/>
              <w:suppressLineNumbers w:val="0"/>
              <w:jc w:val="center"/>
              <w:textAlignment w:val="center"/>
              <w:rPr>
                <w:rFonts w:hint="default"/>
                <w:lang w:val="en-US" w:eastAsia="zh-CN"/>
              </w:rPr>
            </w:pPr>
            <w:r>
              <w:rPr>
                <w:rFonts w:hint="eastAsia" w:ascii="宋体" w:hAnsi="宋体" w:eastAsia="宋体" w:cs="宋体"/>
                <w:i w:val="0"/>
                <w:iCs w:val="0"/>
                <w:color w:val="000000"/>
                <w:kern w:val="0"/>
                <w:sz w:val="22"/>
                <w:szCs w:val="22"/>
                <w:u w:val="none"/>
                <w:lang w:val="en-US" w:eastAsia="zh-CN" w:bidi="ar"/>
              </w:rPr>
              <w:t>心血管内科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6" w:type="dxa"/>
            <w:vAlign w:val="center"/>
          </w:tcPr>
          <w:p>
            <w:pPr>
              <w:jc w:val="center"/>
              <w:rPr>
                <w:rFonts w:hint="default" w:asciiTheme="minorHAnsi" w:hAnsiTheme="minorHAnsi" w:eastAsiaTheme="minorEastAsia" w:cstheme="minorBidi"/>
                <w:kern w:val="2"/>
                <w:sz w:val="21"/>
                <w:szCs w:val="24"/>
                <w:lang w:val="en-US" w:eastAsia="zh-CN" w:bidi="ar-SA"/>
              </w:rPr>
            </w:pPr>
            <w:r>
              <w:rPr>
                <w:rFonts w:hint="eastAsia"/>
                <w:lang w:val="en-US" w:eastAsia="zh-CN"/>
              </w:rPr>
              <w:t>更正后</w:t>
            </w:r>
          </w:p>
        </w:tc>
        <w:tc>
          <w:tcPr>
            <w:tcW w:w="1362" w:type="dxa"/>
            <w:vAlign w:val="center"/>
          </w:tcPr>
          <w:p>
            <w:pPr>
              <w:jc w:val="center"/>
              <w:rPr>
                <w:rFonts w:hint="eastAsia" w:ascii="宋体" w:hAnsi="宋体" w:eastAsia="宋体" w:cs="宋体"/>
                <w:i w:val="0"/>
                <w:iCs w:val="0"/>
                <w:color w:val="FF0000"/>
                <w:kern w:val="0"/>
                <w:sz w:val="22"/>
                <w:szCs w:val="22"/>
                <w:u w:val="none"/>
                <w:lang w:val="en-US" w:eastAsia="zh-CN" w:bidi="ar"/>
              </w:rPr>
            </w:pPr>
            <w:r>
              <w:rPr>
                <w:rFonts w:hint="eastAsia"/>
                <w:lang w:val="en-US" w:eastAsia="zh-CN"/>
              </w:rPr>
              <w:t>标段7</w:t>
            </w:r>
          </w:p>
        </w:tc>
        <w:tc>
          <w:tcPr>
            <w:tcW w:w="1362" w:type="dxa"/>
            <w:vAlign w:val="center"/>
          </w:tcPr>
          <w:p>
            <w:pPr>
              <w:keepNext w:val="0"/>
              <w:keepLines w:val="0"/>
              <w:widowControl/>
              <w:suppressLineNumbers w:val="0"/>
              <w:jc w:val="left"/>
              <w:textAlignment w:val="center"/>
              <w:rPr>
                <w:rFonts w:hint="eastAsia" w:asciiTheme="minorHAnsi" w:hAnsiTheme="minorHAnsi" w:eastAsiaTheme="minorEastAsia" w:cstheme="minorBidi"/>
                <w:color w:val="FF0000"/>
                <w:kern w:val="2"/>
                <w:sz w:val="21"/>
                <w:szCs w:val="24"/>
                <w:lang w:val="en-US" w:eastAsia="zh-CN" w:bidi="ar-SA"/>
              </w:rPr>
            </w:pPr>
            <w:r>
              <w:rPr>
                <w:rFonts w:hint="eastAsia" w:ascii="宋体" w:hAnsi="宋体" w:eastAsia="宋体" w:cs="宋体"/>
                <w:i w:val="0"/>
                <w:iCs w:val="0"/>
                <w:color w:val="FF0000"/>
                <w:kern w:val="0"/>
                <w:sz w:val="22"/>
                <w:szCs w:val="22"/>
                <w:u w:val="none"/>
                <w:lang w:val="en-US" w:eastAsia="zh-CN" w:bidi="ar"/>
              </w:rPr>
              <w:t>心脏起搏器类</w:t>
            </w:r>
          </w:p>
        </w:tc>
        <w:tc>
          <w:tcPr>
            <w:tcW w:w="1893" w:type="dxa"/>
            <w:vAlign w:val="center"/>
          </w:tcPr>
          <w:p>
            <w:pPr>
              <w:keepNext w:val="0"/>
              <w:keepLines w:val="0"/>
              <w:widowControl/>
              <w:suppressLineNumbers w:val="0"/>
              <w:jc w:val="left"/>
              <w:textAlignment w:val="center"/>
              <w:rPr>
                <w:rFonts w:hint="eastAsia" w:asciiTheme="minorHAnsi" w:hAnsiTheme="minorHAnsi" w:eastAsiaTheme="minorEastAsia" w:cstheme="minorBidi"/>
                <w:color w:val="FF0000"/>
                <w:kern w:val="2"/>
                <w:sz w:val="21"/>
                <w:szCs w:val="24"/>
                <w:lang w:val="en-US" w:eastAsia="zh-CN" w:bidi="ar-SA"/>
              </w:rPr>
            </w:pPr>
            <w:r>
              <w:rPr>
                <w:rFonts w:hint="eastAsia" w:ascii="宋体" w:hAnsi="宋体" w:eastAsia="宋体" w:cs="宋体"/>
                <w:i w:val="0"/>
                <w:iCs w:val="0"/>
                <w:color w:val="FF0000"/>
                <w:kern w:val="0"/>
                <w:sz w:val="22"/>
                <w:szCs w:val="22"/>
                <w:u w:val="none"/>
                <w:lang w:val="en-US" w:eastAsia="zh-CN" w:bidi="ar"/>
              </w:rPr>
              <w:t>植入式</w:t>
            </w:r>
            <w:r>
              <w:rPr>
                <w:rFonts w:hint="eastAsia" w:ascii="宋体" w:hAnsi="宋体" w:cs="宋体"/>
                <w:i w:val="0"/>
                <w:iCs w:val="0"/>
                <w:color w:val="FF0000"/>
                <w:kern w:val="0"/>
                <w:sz w:val="22"/>
                <w:szCs w:val="22"/>
                <w:u w:val="none"/>
                <w:lang w:val="en-US" w:eastAsia="zh-CN" w:bidi="ar"/>
              </w:rPr>
              <w:t>（</w:t>
            </w:r>
            <w:r>
              <w:rPr>
                <w:rFonts w:hint="eastAsia" w:ascii="宋体" w:hAnsi="宋体" w:eastAsia="宋体" w:cs="宋体"/>
                <w:i w:val="0"/>
                <w:iCs w:val="0"/>
                <w:color w:val="FF0000"/>
                <w:kern w:val="0"/>
                <w:sz w:val="22"/>
                <w:szCs w:val="22"/>
                <w:u w:val="none"/>
                <w:lang w:val="en-US" w:eastAsia="zh-CN" w:bidi="ar"/>
              </w:rPr>
              <w:t>再同步</w:t>
            </w:r>
            <w:r>
              <w:rPr>
                <w:rFonts w:hint="eastAsia" w:ascii="宋体" w:hAnsi="宋体" w:cs="宋体"/>
                <w:i w:val="0"/>
                <w:iCs w:val="0"/>
                <w:color w:val="FF0000"/>
                <w:kern w:val="0"/>
                <w:sz w:val="22"/>
                <w:szCs w:val="22"/>
                <w:u w:val="none"/>
                <w:lang w:val="en-US" w:eastAsia="zh-CN" w:bidi="ar"/>
              </w:rPr>
              <w:t>）</w:t>
            </w:r>
            <w:r>
              <w:rPr>
                <w:rFonts w:hint="eastAsia" w:ascii="宋体" w:hAnsi="宋体" w:eastAsia="宋体" w:cs="宋体"/>
                <w:i w:val="0"/>
                <w:iCs w:val="0"/>
                <w:color w:val="FF0000"/>
                <w:kern w:val="0"/>
                <w:sz w:val="22"/>
                <w:szCs w:val="22"/>
                <w:u w:val="none"/>
                <w:lang w:val="en-US" w:eastAsia="zh-CN" w:bidi="ar"/>
              </w:rPr>
              <w:t>治疗心律转复除颤器</w:t>
            </w:r>
            <w:r>
              <w:rPr>
                <w:rFonts w:hint="eastAsia" w:ascii="宋体" w:hAnsi="宋体" w:cs="宋体"/>
                <w:i w:val="0"/>
                <w:iCs w:val="0"/>
                <w:color w:val="FF0000"/>
                <w:kern w:val="0"/>
                <w:sz w:val="22"/>
                <w:szCs w:val="22"/>
                <w:u w:val="none"/>
                <w:lang w:val="en-US" w:eastAsia="zh-CN" w:bidi="ar"/>
              </w:rPr>
              <w:t>及导线</w:t>
            </w:r>
          </w:p>
        </w:tc>
        <w:tc>
          <w:tcPr>
            <w:tcW w:w="1224" w:type="dxa"/>
            <w:vAlign w:val="center"/>
          </w:tcPr>
          <w:p>
            <w:pPr>
              <w:jc w:val="center"/>
              <w:rPr>
                <w:rFonts w:hint="eastAsia" w:asciiTheme="minorHAnsi" w:hAnsiTheme="minorHAnsi" w:eastAsiaTheme="minorEastAsia" w:cstheme="minorBidi"/>
                <w:color w:val="FF0000"/>
                <w:kern w:val="2"/>
                <w:sz w:val="21"/>
                <w:szCs w:val="24"/>
                <w:lang w:val="en-US" w:eastAsia="zh-CN" w:bidi="ar-SA"/>
              </w:rPr>
            </w:pPr>
            <w:r>
              <w:rPr>
                <w:rFonts w:hint="eastAsia"/>
                <w:color w:val="FF0000"/>
                <w:lang w:val="en-US" w:eastAsia="zh-CN"/>
              </w:rPr>
              <w:t>单腔、双腔、三腔</w:t>
            </w:r>
          </w:p>
        </w:tc>
        <w:tc>
          <w:tcPr>
            <w:tcW w:w="2852" w:type="dxa"/>
            <w:vAlign w:val="center"/>
          </w:tcPr>
          <w:p>
            <w:pPr>
              <w:keepNext w:val="0"/>
              <w:keepLines w:val="0"/>
              <w:widowControl/>
              <w:suppressLineNumbers w:val="0"/>
              <w:jc w:val="left"/>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22"/>
                <w:szCs w:val="22"/>
                <w:u w:val="none"/>
                <w:lang w:val="en-US" w:eastAsia="zh-CN" w:bidi="ar"/>
              </w:rPr>
              <w:t>植入式再同步治疗心律转复除颤器用于容易因室速突然死亡的患者和心室不同步心力衰竭的患者。用于心室抗心动过速起搏，复律和除颤，以便自动治疗危及生命的室性心动过速。</w:t>
            </w:r>
          </w:p>
        </w:tc>
        <w:tc>
          <w:tcPr>
            <w:tcW w:w="1393" w:type="dxa"/>
            <w:vAlign w:val="center"/>
          </w:tcPr>
          <w:p>
            <w:pPr>
              <w:keepNext w:val="0"/>
              <w:keepLines w:val="0"/>
              <w:widowControl/>
              <w:suppressLineNumbers w:val="0"/>
              <w:jc w:val="center"/>
              <w:textAlignment w:val="center"/>
              <w:rPr>
                <w:rFonts w:hint="eastAsia" w:asciiTheme="minorHAnsi" w:hAnsiTheme="minorHAnsi" w:eastAsiaTheme="minorEastAsia" w:cstheme="minorBidi"/>
                <w:kern w:val="2"/>
                <w:sz w:val="21"/>
                <w:szCs w:val="24"/>
                <w:lang w:val="en-US" w:eastAsia="zh-CN" w:bidi="ar-SA"/>
              </w:rPr>
            </w:pPr>
            <w:r>
              <w:rPr>
                <w:rFonts w:hint="eastAsia" w:ascii="宋体" w:hAnsi="宋体" w:eastAsia="宋体" w:cs="宋体"/>
                <w:i w:val="0"/>
                <w:iCs w:val="0"/>
                <w:color w:val="000000"/>
                <w:kern w:val="0"/>
                <w:sz w:val="22"/>
                <w:szCs w:val="22"/>
                <w:u w:val="none"/>
                <w:lang w:val="en-US" w:eastAsia="zh-CN" w:bidi="ar"/>
              </w:rPr>
              <w:t>心血管内科</w:t>
            </w:r>
          </w:p>
        </w:tc>
      </w:tr>
    </w:tbl>
    <w:p>
      <w:pPr>
        <w:bidi w:val="0"/>
        <w:rPr>
          <w:rFonts w:hint="default"/>
          <w:b/>
          <w:bCs/>
          <w:sz w:val="24"/>
          <w:szCs w:val="32"/>
          <w:lang w:val="en-US" w:eastAsia="zh-CN"/>
        </w:rPr>
      </w:pPr>
      <w:r>
        <w:rPr>
          <w:rFonts w:hint="eastAsia"/>
          <w:b/>
          <w:bCs/>
          <w:sz w:val="24"/>
          <w:szCs w:val="32"/>
          <w:lang w:val="en-US" w:eastAsia="zh-CN"/>
        </w:rPr>
        <w:t>更正内容1：见表格</w:t>
      </w:r>
    </w:p>
    <w:p>
      <w:pPr>
        <w:pStyle w:val="2"/>
        <w:rPr>
          <w:rFonts w:hint="eastAsia"/>
          <w:b/>
          <w:bCs/>
          <w:sz w:val="24"/>
          <w:szCs w:val="32"/>
          <w:lang w:val="en-US" w:eastAsia="zh-CN"/>
        </w:rPr>
      </w:pPr>
      <w:r>
        <w:rPr>
          <w:rFonts w:hint="eastAsia"/>
          <w:b/>
          <w:bCs/>
          <w:sz w:val="24"/>
          <w:szCs w:val="32"/>
          <w:lang w:val="en-US" w:eastAsia="zh-CN"/>
        </w:rPr>
        <w:t>更正内容2：报价单更新</w:t>
      </w:r>
    </w:p>
    <w:tbl>
      <w:tblPr>
        <w:tblStyle w:val="5"/>
        <w:tblpPr w:leftFromText="180" w:rightFromText="180" w:vertAnchor="text" w:horzAnchor="page" w:tblpX="1009" w:tblpY="566"/>
        <w:tblOverlap w:val="never"/>
        <w:tblW w:w="97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730"/>
        <w:gridCol w:w="2654"/>
        <w:gridCol w:w="3250"/>
        <w:gridCol w:w="2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30" w:type="dxa"/>
            <w:vMerge w:val="restart"/>
            <w:noWrap w:val="0"/>
            <w:vAlign w:val="center"/>
          </w:tcPr>
          <w:p>
            <w:pPr>
              <w:jc w:val="center"/>
              <w:rPr>
                <w:rFonts w:hint="default" w:ascii="Times New Roman" w:hAnsi="Times New Roman"/>
                <w:sz w:val="24"/>
                <w:lang w:val="en-US" w:eastAsia="zh-CN"/>
              </w:rPr>
            </w:pPr>
            <w:r>
              <w:rPr>
                <w:rFonts w:hint="eastAsia" w:ascii="Times New Roman" w:hAnsi="Times New Roman"/>
                <w:sz w:val="24"/>
                <w:lang w:val="en-US" w:eastAsia="zh-CN"/>
              </w:rPr>
              <w:t>更正前</w:t>
            </w:r>
          </w:p>
        </w:tc>
        <w:tc>
          <w:tcPr>
            <w:tcW w:w="730" w:type="dxa"/>
            <w:noWrap w:val="0"/>
            <w:vAlign w:val="center"/>
          </w:tcPr>
          <w:p>
            <w:pPr>
              <w:jc w:val="center"/>
              <w:rPr>
                <w:rFonts w:ascii="Times New Roman" w:hAnsi="Times New Roman"/>
                <w:sz w:val="24"/>
              </w:rPr>
            </w:pPr>
          </w:p>
          <w:p>
            <w:pPr>
              <w:jc w:val="center"/>
              <w:rPr>
                <w:rFonts w:hint="eastAsia" w:ascii="Times New Roman" w:hAnsi="Times New Roman" w:eastAsia="宋体"/>
                <w:sz w:val="24"/>
                <w:lang w:eastAsia="zh-CN"/>
              </w:rPr>
            </w:pPr>
            <w:r>
              <w:rPr>
                <w:rFonts w:hint="eastAsia" w:ascii="Times New Roman" w:hAnsi="Times New Roman"/>
                <w:sz w:val="24"/>
                <w:lang w:val="en-US" w:eastAsia="zh-CN"/>
              </w:rPr>
              <w:t>标段</w:t>
            </w:r>
          </w:p>
        </w:tc>
        <w:tc>
          <w:tcPr>
            <w:tcW w:w="2654" w:type="dxa"/>
            <w:noWrap w:val="0"/>
            <w:vAlign w:val="center"/>
          </w:tcPr>
          <w:p>
            <w:pPr>
              <w:jc w:val="center"/>
              <w:rPr>
                <w:rFonts w:ascii="Times New Roman" w:hAnsi="Times New Roman"/>
                <w:sz w:val="24"/>
              </w:rPr>
            </w:pPr>
            <w:r>
              <w:rPr>
                <w:rFonts w:hint="eastAsia" w:ascii="Times New Roman" w:hAnsi="Times New Roman"/>
                <w:sz w:val="24"/>
                <w:lang w:val="en-US" w:eastAsia="zh-CN"/>
              </w:rPr>
              <w:t>耗材</w:t>
            </w:r>
            <w:r>
              <w:rPr>
                <w:rFonts w:ascii="Times New Roman" w:hAnsi="Times New Roman"/>
                <w:sz w:val="24"/>
              </w:rPr>
              <w:t>名称</w:t>
            </w:r>
          </w:p>
        </w:tc>
        <w:tc>
          <w:tcPr>
            <w:tcW w:w="3250" w:type="dxa"/>
            <w:noWrap w:val="0"/>
            <w:vAlign w:val="center"/>
          </w:tcPr>
          <w:p>
            <w:pPr>
              <w:jc w:val="center"/>
              <w:rPr>
                <w:rFonts w:hint="eastAsia" w:ascii="Times New Roman" w:hAnsi="Times New Roman"/>
                <w:sz w:val="24"/>
                <w:lang w:val="en-US" w:eastAsia="zh-CN"/>
              </w:rPr>
            </w:pPr>
            <w:r>
              <w:rPr>
                <w:rFonts w:hint="eastAsia" w:ascii="Times New Roman" w:hAnsi="Times New Roman"/>
                <w:sz w:val="24"/>
                <w:lang w:val="en-US" w:eastAsia="zh-CN"/>
              </w:rPr>
              <w:t>品牌、规格、型号</w:t>
            </w:r>
          </w:p>
          <w:p>
            <w:pPr>
              <w:jc w:val="center"/>
              <w:rPr>
                <w:rFonts w:hint="default" w:ascii="Times New Roman" w:hAnsi="Times New Roman" w:eastAsia="宋体"/>
                <w:sz w:val="24"/>
                <w:lang w:val="en-US" w:eastAsia="zh-CN"/>
              </w:rPr>
            </w:pPr>
            <w:r>
              <w:rPr>
                <w:rFonts w:hint="eastAsia" w:ascii="Times New Roman" w:hAnsi="Times New Roman"/>
                <w:sz w:val="24"/>
                <w:lang w:val="en-US" w:eastAsia="zh-CN"/>
              </w:rPr>
              <w:t>（列明所有规格）</w:t>
            </w:r>
          </w:p>
        </w:tc>
        <w:tc>
          <w:tcPr>
            <w:tcW w:w="2406" w:type="dxa"/>
            <w:noWrap w:val="0"/>
            <w:vAlign w:val="center"/>
          </w:tcPr>
          <w:p>
            <w:pPr>
              <w:jc w:val="center"/>
              <w:rPr>
                <w:rFonts w:hint="default" w:ascii="Times New Roman" w:hAnsi="Times New Roman"/>
                <w:sz w:val="24"/>
                <w:lang w:val="en-US" w:eastAsia="zh-CN"/>
              </w:rPr>
            </w:pPr>
            <w:r>
              <w:rPr>
                <w:rFonts w:hint="eastAsia" w:ascii="Times New Roman" w:hAnsi="Times New Roman"/>
                <w:sz w:val="24"/>
                <w:lang w:val="en-US" w:eastAsia="zh-CN"/>
              </w:rPr>
              <w:t>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tcBorders/>
            <w:noWrap w:val="0"/>
            <w:vAlign w:val="center"/>
          </w:tcPr>
          <w:p>
            <w:pPr>
              <w:jc w:val="center"/>
              <w:rPr>
                <w:rFonts w:ascii="Times New Roman" w:hAnsi="Times New Roman"/>
                <w:sz w:val="24"/>
              </w:rPr>
            </w:pPr>
          </w:p>
        </w:tc>
        <w:tc>
          <w:tcPr>
            <w:tcW w:w="730" w:type="dxa"/>
            <w:noWrap w:val="0"/>
            <w:vAlign w:val="center"/>
          </w:tcPr>
          <w:p>
            <w:pPr>
              <w:jc w:val="center"/>
              <w:rPr>
                <w:rFonts w:ascii="Times New Roman" w:hAnsi="Times New Roman"/>
                <w:sz w:val="24"/>
              </w:rPr>
            </w:pPr>
            <w:r>
              <w:rPr>
                <w:rFonts w:ascii="Times New Roman" w:hAnsi="Times New Roman"/>
                <w:sz w:val="24"/>
              </w:rPr>
              <w:t>1</w:t>
            </w:r>
          </w:p>
        </w:tc>
        <w:tc>
          <w:tcPr>
            <w:tcW w:w="2654" w:type="dxa"/>
            <w:noWrap w:val="0"/>
            <w:vAlign w:val="center"/>
          </w:tcPr>
          <w:p>
            <w:pPr>
              <w:jc w:val="center"/>
              <w:rPr>
                <w:rFonts w:ascii="Times New Roman" w:hAnsi="Times New Roman"/>
                <w:sz w:val="24"/>
              </w:rPr>
            </w:pPr>
          </w:p>
        </w:tc>
        <w:tc>
          <w:tcPr>
            <w:tcW w:w="3250" w:type="dxa"/>
            <w:noWrap w:val="0"/>
            <w:vAlign w:val="center"/>
          </w:tcPr>
          <w:p>
            <w:pPr>
              <w:jc w:val="center"/>
              <w:rPr>
                <w:rFonts w:ascii="Times New Roman" w:hAnsi="Times New Roman"/>
                <w:sz w:val="24"/>
              </w:rPr>
            </w:pPr>
          </w:p>
        </w:tc>
        <w:tc>
          <w:tcPr>
            <w:tcW w:w="2406"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tcBorders/>
            <w:noWrap w:val="0"/>
            <w:vAlign w:val="center"/>
          </w:tcPr>
          <w:p>
            <w:pPr>
              <w:jc w:val="center"/>
              <w:rPr>
                <w:rFonts w:hint="eastAsia" w:ascii="Times New Roman" w:hAnsi="Times New Roman" w:eastAsia="宋体"/>
                <w:sz w:val="24"/>
                <w:lang w:val="en-US" w:eastAsia="zh-CN"/>
              </w:rPr>
            </w:pPr>
          </w:p>
        </w:tc>
        <w:tc>
          <w:tcPr>
            <w:tcW w:w="730" w:type="dxa"/>
            <w:noWrap w:val="0"/>
            <w:vAlign w:val="center"/>
          </w:tcPr>
          <w:p>
            <w:pPr>
              <w:jc w:val="center"/>
              <w:rPr>
                <w:rFonts w:hint="eastAsia" w:ascii="Times New Roman" w:hAnsi="Times New Roman" w:eastAsia="宋体"/>
                <w:sz w:val="24"/>
                <w:lang w:val="en-US" w:eastAsia="zh-CN"/>
              </w:rPr>
            </w:pPr>
          </w:p>
        </w:tc>
        <w:tc>
          <w:tcPr>
            <w:tcW w:w="2654" w:type="dxa"/>
            <w:noWrap w:val="0"/>
            <w:vAlign w:val="center"/>
          </w:tcPr>
          <w:p>
            <w:pPr>
              <w:jc w:val="center"/>
              <w:rPr>
                <w:rFonts w:ascii="Times New Roman" w:hAnsi="Times New Roman"/>
                <w:sz w:val="24"/>
              </w:rPr>
            </w:pPr>
          </w:p>
        </w:tc>
        <w:tc>
          <w:tcPr>
            <w:tcW w:w="3250" w:type="dxa"/>
            <w:noWrap w:val="0"/>
            <w:vAlign w:val="center"/>
          </w:tcPr>
          <w:p>
            <w:pPr>
              <w:jc w:val="center"/>
              <w:rPr>
                <w:rFonts w:ascii="Times New Roman" w:hAnsi="Times New Roman"/>
                <w:sz w:val="24"/>
              </w:rPr>
            </w:pPr>
          </w:p>
        </w:tc>
        <w:tc>
          <w:tcPr>
            <w:tcW w:w="2406"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730" w:type="dxa"/>
            <w:vMerge w:val="continue"/>
            <w:tcBorders/>
            <w:noWrap w:val="0"/>
            <w:vAlign w:val="top"/>
          </w:tcPr>
          <w:p>
            <w:pPr>
              <w:pStyle w:val="3"/>
              <w:rPr>
                <w:rFonts w:hint="eastAsia"/>
                <w:lang w:val="en-US" w:eastAsia="zh-CN"/>
              </w:rPr>
            </w:pPr>
          </w:p>
        </w:tc>
        <w:tc>
          <w:tcPr>
            <w:tcW w:w="9040" w:type="dxa"/>
            <w:gridSpan w:val="4"/>
            <w:noWrap w:val="0"/>
            <w:vAlign w:val="top"/>
          </w:tcPr>
          <w:p>
            <w:pPr>
              <w:pStyle w:val="3"/>
              <w:rPr>
                <w:rFonts w:hint="eastAsia" w:eastAsia="宋体"/>
                <w:lang w:val="en-US" w:eastAsia="zh-CN"/>
              </w:rPr>
            </w:pPr>
            <w:r>
              <w:rPr>
                <w:rFonts w:hint="eastAsia"/>
                <w:lang w:val="en-US" w:eastAsia="zh-CN"/>
              </w:rPr>
              <w:t>备注：</w:t>
            </w:r>
          </w:p>
        </w:tc>
      </w:tr>
    </w:tbl>
    <w:p>
      <w:pPr>
        <w:pStyle w:val="2"/>
        <w:rPr>
          <w:rFonts w:hint="default"/>
          <w:lang w:val="en-US" w:eastAsia="zh-CN"/>
        </w:rPr>
      </w:pPr>
    </w:p>
    <w:tbl>
      <w:tblPr>
        <w:tblStyle w:val="5"/>
        <w:tblpPr w:leftFromText="180" w:rightFromText="180" w:vertAnchor="text" w:horzAnchor="page" w:tblpX="1009" w:tblpY="3397"/>
        <w:tblOverlap w:val="never"/>
        <w:tblW w:w="97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730"/>
        <w:gridCol w:w="1327"/>
        <w:gridCol w:w="1665"/>
        <w:gridCol w:w="1607"/>
        <w:gridCol w:w="2218"/>
        <w:gridCol w:w="1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30" w:type="dxa"/>
            <w:vMerge w:val="restart"/>
            <w:noWrap w:val="0"/>
            <w:vAlign w:val="center"/>
          </w:tcPr>
          <w:p>
            <w:pPr>
              <w:jc w:val="center"/>
              <w:rPr>
                <w:rFonts w:hint="default" w:ascii="Times New Roman" w:hAnsi="Times New Roman"/>
                <w:sz w:val="24"/>
                <w:lang w:val="en-US" w:eastAsia="zh-CN"/>
              </w:rPr>
            </w:pPr>
            <w:r>
              <w:rPr>
                <w:rFonts w:hint="eastAsia" w:ascii="Times New Roman" w:hAnsi="Times New Roman"/>
                <w:sz w:val="24"/>
                <w:lang w:val="en-US" w:eastAsia="zh-CN"/>
              </w:rPr>
              <w:t>更正后</w:t>
            </w:r>
          </w:p>
        </w:tc>
        <w:tc>
          <w:tcPr>
            <w:tcW w:w="730" w:type="dxa"/>
            <w:noWrap w:val="0"/>
            <w:vAlign w:val="center"/>
          </w:tcPr>
          <w:p>
            <w:pPr>
              <w:jc w:val="center"/>
              <w:rPr>
                <w:rFonts w:ascii="Times New Roman" w:hAnsi="Times New Roman"/>
                <w:sz w:val="24"/>
              </w:rPr>
            </w:pPr>
          </w:p>
          <w:p>
            <w:pPr>
              <w:jc w:val="center"/>
              <w:rPr>
                <w:rFonts w:hint="eastAsia" w:ascii="Times New Roman" w:hAnsi="Times New Roman" w:eastAsia="宋体"/>
                <w:sz w:val="24"/>
                <w:lang w:eastAsia="zh-CN"/>
              </w:rPr>
            </w:pPr>
            <w:r>
              <w:rPr>
                <w:rFonts w:hint="eastAsia" w:ascii="Times New Roman" w:hAnsi="Times New Roman"/>
                <w:sz w:val="24"/>
                <w:lang w:val="en-US" w:eastAsia="zh-CN"/>
              </w:rPr>
              <w:t>标段</w:t>
            </w:r>
          </w:p>
        </w:tc>
        <w:tc>
          <w:tcPr>
            <w:tcW w:w="1327" w:type="dxa"/>
            <w:noWrap w:val="0"/>
            <w:vAlign w:val="center"/>
          </w:tcPr>
          <w:p>
            <w:pPr>
              <w:jc w:val="center"/>
              <w:rPr>
                <w:rFonts w:ascii="Times New Roman" w:hAnsi="Times New Roman"/>
                <w:sz w:val="24"/>
              </w:rPr>
            </w:pPr>
            <w:r>
              <w:rPr>
                <w:rFonts w:hint="eastAsia" w:ascii="Times New Roman" w:hAnsi="Times New Roman"/>
                <w:sz w:val="24"/>
                <w:lang w:val="en-US" w:eastAsia="zh-CN"/>
              </w:rPr>
              <w:t>耗材</w:t>
            </w:r>
            <w:r>
              <w:rPr>
                <w:rFonts w:ascii="Times New Roman" w:hAnsi="Times New Roman"/>
                <w:sz w:val="24"/>
              </w:rPr>
              <w:t>名称</w:t>
            </w:r>
          </w:p>
        </w:tc>
        <w:tc>
          <w:tcPr>
            <w:tcW w:w="1665" w:type="dxa"/>
            <w:noWrap w:val="0"/>
            <w:vAlign w:val="center"/>
          </w:tcPr>
          <w:p>
            <w:pPr>
              <w:jc w:val="center"/>
              <w:rPr>
                <w:rFonts w:hint="default" w:ascii="Times New Roman" w:hAnsi="Times New Roman"/>
                <w:sz w:val="24"/>
                <w:lang w:val="en-US" w:eastAsia="zh-CN"/>
              </w:rPr>
            </w:pPr>
            <w:r>
              <w:rPr>
                <w:rFonts w:hint="eastAsia" w:ascii="Times New Roman" w:hAnsi="Times New Roman"/>
                <w:sz w:val="24"/>
                <w:lang w:val="en-US" w:eastAsia="zh-CN"/>
              </w:rPr>
              <w:t>省标代码</w:t>
            </w:r>
          </w:p>
        </w:tc>
        <w:tc>
          <w:tcPr>
            <w:tcW w:w="1607" w:type="dxa"/>
            <w:noWrap w:val="0"/>
            <w:vAlign w:val="center"/>
          </w:tcPr>
          <w:p>
            <w:pPr>
              <w:jc w:val="center"/>
              <w:rPr>
                <w:rFonts w:hint="default" w:ascii="Times New Roman" w:hAnsi="Times New Roman" w:eastAsia="宋体"/>
                <w:sz w:val="24"/>
                <w:lang w:val="en-US" w:eastAsia="zh-CN"/>
              </w:rPr>
            </w:pPr>
            <w:r>
              <w:rPr>
                <w:rFonts w:hint="eastAsia" w:ascii="Times New Roman" w:hAnsi="Times New Roman"/>
                <w:sz w:val="24"/>
                <w:lang w:val="en-US" w:eastAsia="zh-CN"/>
              </w:rPr>
              <w:t>品牌</w:t>
            </w:r>
          </w:p>
        </w:tc>
        <w:tc>
          <w:tcPr>
            <w:tcW w:w="2218" w:type="dxa"/>
            <w:noWrap w:val="0"/>
            <w:vAlign w:val="center"/>
          </w:tcPr>
          <w:p>
            <w:pPr>
              <w:jc w:val="center"/>
              <w:rPr>
                <w:rFonts w:hint="eastAsia" w:ascii="Times New Roman" w:hAnsi="Times New Roman"/>
                <w:sz w:val="24"/>
                <w:lang w:val="en-US" w:eastAsia="zh-CN"/>
              </w:rPr>
            </w:pPr>
            <w:r>
              <w:rPr>
                <w:rFonts w:hint="eastAsia" w:ascii="Times New Roman" w:hAnsi="Times New Roman"/>
                <w:sz w:val="24"/>
                <w:lang w:val="en-US" w:eastAsia="zh-CN"/>
              </w:rPr>
              <w:t>规格、型号</w:t>
            </w:r>
          </w:p>
          <w:p>
            <w:pPr>
              <w:jc w:val="center"/>
              <w:rPr>
                <w:rFonts w:hint="eastAsia" w:ascii="Times New Roman" w:hAnsi="Times New Roman"/>
                <w:sz w:val="24"/>
                <w:lang w:val="en-US" w:eastAsia="zh-CN"/>
              </w:rPr>
            </w:pPr>
            <w:r>
              <w:rPr>
                <w:rFonts w:hint="eastAsia" w:ascii="Times New Roman" w:hAnsi="Times New Roman"/>
                <w:sz w:val="24"/>
                <w:lang w:val="en-US" w:eastAsia="zh-CN"/>
              </w:rPr>
              <w:t>（列明所有规格）</w:t>
            </w:r>
          </w:p>
        </w:tc>
        <w:tc>
          <w:tcPr>
            <w:tcW w:w="1493" w:type="dxa"/>
            <w:noWrap w:val="0"/>
            <w:vAlign w:val="center"/>
          </w:tcPr>
          <w:p>
            <w:pPr>
              <w:jc w:val="center"/>
              <w:rPr>
                <w:rFonts w:hint="default" w:ascii="Times New Roman" w:hAnsi="Times New Roman"/>
                <w:sz w:val="24"/>
                <w:lang w:val="en-US" w:eastAsia="zh-CN"/>
              </w:rPr>
            </w:pPr>
            <w:r>
              <w:rPr>
                <w:rFonts w:hint="eastAsia" w:ascii="Times New Roman" w:hAnsi="Times New Roman"/>
                <w:sz w:val="24"/>
                <w:lang w:val="en-US" w:eastAsia="zh-CN"/>
              </w:rPr>
              <w:t>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tcBorders/>
            <w:noWrap w:val="0"/>
            <w:vAlign w:val="center"/>
          </w:tcPr>
          <w:p>
            <w:pPr>
              <w:jc w:val="center"/>
              <w:rPr>
                <w:rFonts w:ascii="Times New Roman" w:hAnsi="Times New Roman"/>
                <w:sz w:val="24"/>
              </w:rPr>
            </w:pPr>
          </w:p>
        </w:tc>
        <w:tc>
          <w:tcPr>
            <w:tcW w:w="730" w:type="dxa"/>
            <w:noWrap w:val="0"/>
            <w:vAlign w:val="center"/>
          </w:tcPr>
          <w:p>
            <w:pPr>
              <w:jc w:val="center"/>
              <w:rPr>
                <w:rFonts w:ascii="Times New Roman" w:hAnsi="Times New Roman"/>
                <w:sz w:val="24"/>
              </w:rPr>
            </w:pPr>
            <w:r>
              <w:rPr>
                <w:rFonts w:ascii="Times New Roman" w:hAnsi="Times New Roman"/>
                <w:sz w:val="24"/>
              </w:rPr>
              <w:t>1</w:t>
            </w:r>
          </w:p>
        </w:tc>
        <w:tc>
          <w:tcPr>
            <w:tcW w:w="1327" w:type="dxa"/>
            <w:noWrap w:val="0"/>
            <w:vAlign w:val="center"/>
          </w:tcPr>
          <w:p>
            <w:pPr>
              <w:jc w:val="center"/>
              <w:rPr>
                <w:rFonts w:ascii="Times New Roman" w:hAnsi="Times New Roman"/>
                <w:sz w:val="24"/>
              </w:rPr>
            </w:pPr>
          </w:p>
        </w:tc>
        <w:tc>
          <w:tcPr>
            <w:tcW w:w="1665" w:type="dxa"/>
            <w:noWrap w:val="0"/>
            <w:vAlign w:val="center"/>
          </w:tcPr>
          <w:p>
            <w:pPr>
              <w:jc w:val="center"/>
              <w:rPr>
                <w:rFonts w:ascii="Times New Roman" w:hAnsi="Times New Roman"/>
                <w:sz w:val="24"/>
              </w:rPr>
            </w:pPr>
          </w:p>
        </w:tc>
        <w:tc>
          <w:tcPr>
            <w:tcW w:w="1607" w:type="dxa"/>
            <w:noWrap w:val="0"/>
            <w:vAlign w:val="center"/>
          </w:tcPr>
          <w:p>
            <w:pPr>
              <w:jc w:val="center"/>
              <w:rPr>
                <w:rFonts w:ascii="Times New Roman" w:hAnsi="Times New Roman"/>
                <w:sz w:val="24"/>
              </w:rPr>
            </w:pPr>
          </w:p>
        </w:tc>
        <w:tc>
          <w:tcPr>
            <w:tcW w:w="2218" w:type="dxa"/>
            <w:noWrap w:val="0"/>
            <w:vAlign w:val="center"/>
          </w:tcPr>
          <w:p>
            <w:pPr>
              <w:jc w:val="center"/>
              <w:rPr>
                <w:rFonts w:ascii="Times New Roman" w:hAnsi="Times New Roman"/>
                <w:sz w:val="24"/>
              </w:rPr>
            </w:pPr>
          </w:p>
        </w:tc>
        <w:tc>
          <w:tcPr>
            <w:tcW w:w="1493"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tcBorders/>
            <w:noWrap w:val="0"/>
            <w:vAlign w:val="center"/>
          </w:tcPr>
          <w:p>
            <w:pPr>
              <w:jc w:val="center"/>
              <w:rPr>
                <w:rFonts w:hint="eastAsia" w:ascii="Times New Roman" w:hAnsi="Times New Roman" w:eastAsia="宋体"/>
                <w:sz w:val="24"/>
                <w:lang w:val="en-US" w:eastAsia="zh-CN"/>
              </w:rPr>
            </w:pPr>
          </w:p>
        </w:tc>
        <w:tc>
          <w:tcPr>
            <w:tcW w:w="730" w:type="dxa"/>
            <w:noWrap w:val="0"/>
            <w:vAlign w:val="center"/>
          </w:tcPr>
          <w:p>
            <w:pPr>
              <w:jc w:val="center"/>
              <w:rPr>
                <w:rFonts w:hint="eastAsia" w:ascii="Times New Roman" w:hAnsi="Times New Roman" w:eastAsia="宋体"/>
                <w:sz w:val="24"/>
                <w:lang w:val="en-US" w:eastAsia="zh-CN"/>
              </w:rPr>
            </w:pPr>
          </w:p>
        </w:tc>
        <w:tc>
          <w:tcPr>
            <w:tcW w:w="1327" w:type="dxa"/>
            <w:noWrap w:val="0"/>
            <w:vAlign w:val="center"/>
          </w:tcPr>
          <w:p>
            <w:pPr>
              <w:jc w:val="center"/>
              <w:rPr>
                <w:rFonts w:ascii="Times New Roman" w:hAnsi="Times New Roman"/>
                <w:sz w:val="24"/>
              </w:rPr>
            </w:pPr>
          </w:p>
        </w:tc>
        <w:tc>
          <w:tcPr>
            <w:tcW w:w="1665" w:type="dxa"/>
            <w:noWrap w:val="0"/>
            <w:vAlign w:val="center"/>
          </w:tcPr>
          <w:p>
            <w:pPr>
              <w:jc w:val="center"/>
              <w:rPr>
                <w:rFonts w:ascii="Times New Roman" w:hAnsi="Times New Roman"/>
                <w:sz w:val="24"/>
              </w:rPr>
            </w:pPr>
          </w:p>
        </w:tc>
        <w:tc>
          <w:tcPr>
            <w:tcW w:w="1607" w:type="dxa"/>
            <w:noWrap w:val="0"/>
            <w:vAlign w:val="center"/>
          </w:tcPr>
          <w:p>
            <w:pPr>
              <w:jc w:val="center"/>
              <w:rPr>
                <w:rFonts w:ascii="Times New Roman" w:hAnsi="Times New Roman"/>
                <w:sz w:val="24"/>
              </w:rPr>
            </w:pPr>
          </w:p>
        </w:tc>
        <w:tc>
          <w:tcPr>
            <w:tcW w:w="2218" w:type="dxa"/>
            <w:noWrap w:val="0"/>
            <w:vAlign w:val="center"/>
          </w:tcPr>
          <w:p>
            <w:pPr>
              <w:jc w:val="center"/>
              <w:rPr>
                <w:rFonts w:ascii="Times New Roman" w:hAnsi="Times New Roman"/>
                <w:sz w:val="24"/>
              </w:rPr>
            </w:pPr>
          </w:p>
        </w:tc>
        <w:tc>
          <w:tcPr>
            <w:tcW w:w="1493"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730" w:type="dxa"/>
            <w:vMerge w:val="continue"/>
            <w:tcBorders/>
            <w:noWrap w:val="0"/>
            <w:vAlign w:val="top"/>
          </w:tcPr>
          <w:p>
            <w:pPr>
              <w:pStyle w:val="3"/>
              <w:rPr>
                <w:rFonts w:hint="eastAsia"/>
                <w:lang w:val="en-US" w:eastAsia="zh-CN"/>
              </w:rPr>
            </w:pPr>
          </w:p>
        </w:tc>
        <w:tc>
          <w:tcPr>
            <w:tcW w:w="9040" w:type="dxa"/>
            <w:gridSpan w:val="6"/>
            <w:noWrap w:val="0"/>
            <w:vAlign w:val="top"/>
          </w:tcPr>
          <w:p>
            <w:pPr>
              <w:pStyle w:val="3"/>
              <w:rPr>
                <w:rFonts w:hint="eastAsia" w:eastAsia="宋体"/>
                <w:lang w:val="en-US" w:eastAsia="zh-CN"/>
              </w:rPr>
            </w:pPr>
            <w:r>
              <w:rPr>
                <w:rFonts w:hint="eastAsia"/>
                <w:lang w:val="en-US" w:eastAsia="zh-CN"/>
              </w:rPr>
              <w:t>备注：</w:t>
            </w:r>
          </w:p>
        </w:tc>
      </w:tr>
    </w:tbl>
    <w:p>
      <w:pPr>
        <w:pStyle w:val="2"/>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ZGNjNDExODIyYThhNTVlYTk2YjU5YmFhMDNlYzYifQ=="/>
  </w:docVars>
  <w:rsids>
    <w:rsidRoot w:val="34F06A9E"/>
    <w:rsid w:val="34F06A9E"/>
    <w:rsid w:val="40556AC9"/>
    <w:rsid w:val="66A15D14"/>
    <w:rsid w:val="7F7E65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4"/>
    <w:basedOn w:val="1"/>
    <w:next w:val="1"/>
    <w:qFormat/>
    <w:uiPriority w:val="0"/>
    <w:pPr>
      <w:keepNext/>
      <w:keepLines/>
      <w:spacing w:line="540" w:lineRule="atLeast"/>
      <w:outlineLvl w:val="3"/>
    </w:pPr>
    <w:rPr>
      <w:sz w:val="28"/>
      <w:szCs w:val="28"/>
    </w:rPr>
  </w:style>
  <w:style w:type="character" w:default="1" w:styleId="7">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首行缩进"/>
    <w:basedOn w:val="1"/>
    <w:qFormat/>
    <w:uiPriority w:val="0"/>
    <w:pPr>
      <w:ind w:firstLine="480" w:firstLineChars="200"/>
    </w:pPr>
    <w:rPr>
      <w:lang w:val="zh-CN"/>
    </w:rPr>
  </w:style>
  <w:style w:type="paragraph" w:styleId="4">
    <w:name w:val="Body Text"/>
    <w:basedOn w:val="1"/>
    <w:qFormat/>
    <w:uiPriority w:val="0"/>
    <w:rPr>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419</Words>
  <Characters>453</Characters>
  <Lines>0</Lines>
  <Paragraphs>0</Paragraphs>
  <TotalTime>0</TotalTime>
  <ScaleCrop>false</ScaleCrop>
  <LinksUpToDate>false</LinksUpToDate>
  <CharactersWithSpaces>453</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2023-08-02T06:14:00Z</dcterms:created>
  <dc:creator>bigoofeet</dc:creator>
  <cp:lastModifiedBy>bigoofeet</cp:lastModifiedBy>
  <cp:lastPrinted>2023-08-02T06:33:00Z</cp:lastPrinted>
  <dcterms:modified xsi:type="dcterms:W3CDTF">2023-09-19T06:06:01Z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DFDACE2AB72A48A5B08F0606BA8B23E3_13</vt:lpwstr>
  </property>
</Properties>
</file>